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keepNext w:val="0"/>
        <w:keepLines w:val="0"/>
        <w:pageBreakBefore w:val="0"/>
        <w:widowControl w:val="0"/>
        <w:kinsoku/>
        <w:overflowPunct/>
        <w:topLinePunct w:val="0"/>
        <w:autoSpaceDE/>
        <w:autoSpaceDN/>
        <w:bidi w:val="0"/>
        <w:adjustRightInd/>
        <w:snapToGrid/>
        <w:spacing w:line="500" w:lineRule="exact"/>
        <w:jc w:val="center"/>
        <w:textAlignment w:val="auto"/>
        <w:rPr>
          <w:rFonts w:hint="eastAsia" w:ascii="黑体" w:hAnsi="黑体" w:eastAsia="黑体" w:cs="黑体"/>
          <w:sz w:val="44"/>
          <w:szCs w:val="44"/>
          <w:highlight w:val="none"/>
          <w:lang w:val="en-US" w:eastAsia="zh-CN"/>
        </w:rPr>
      </w:pPr>
      <w:r>
        <w:rPr>
          <w:rFonts w:hint="eastAsia" w:ascii="黑体" w:hAnsi="黑体" w:eastAsia="黑体" w:cs="黑体"/>
          <w:sz w:val="44"/>
          <w:szCs w:val="44"/>
          <w:highlight w:val="none"/>
          <w:lang w:val="en-US" w:eastAsia="zh-CN"/>
        </w:rPr>
        <w:t>承诺书</w:t>
      </w:r>
    </w:p>
    <w:p w14:paraId="382A644A">
      <w:pPr>
        <w:keepNext w:val="0"/>
        <w:keepLines w:val="0"/>
        <w:pageBreakBefore w:val="0"/>
        <w:widowControl w:val="0"/>
        <w:kinsoku/>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highlight w:val="none"/>
          <w:lang w:val="en-US" w:eastAsia="zh-CN"/>
        </w:rPr>
      </w:pPr>
    </w:p>
    <w:p w14:paraId="24D80599">
      <w:pPr>
        <w:keepNext w:val="0"/>
        <w:keepLines w:val="0"/>
        <w:pageBreakBefore w:val="0"/>
        <w:widowControl w:val="0"/>
        <w:kinsoku/>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出租方、广州产权交易所有限公司：</w:t>
      </w:r>
    </w:p>
    <w:p w14:paraId="17DDBF61">
      <w:pPr>
        <w:keepNext w:val="0"/>
        <w:keepLines w:val="0"/>
        <w:pageBreakBefore w:val="0"/>
        <w:widowControl w:val="0"/>
        <w:kinsoku/>
        <w:overflowPunct/>
        <w:topLinePunct w:val="0"/>
        <w:autoSpaceDE/>
        <w:autoSpaceDN/>
        <w:bidi w:val="0"/>
        <w:adjustRightInd/>
        <w:snapToGrid/>
        <w:spacing w:line="500" w:lineRule="exact"/>
        <w:ind w:firstLine="640"/>
        <w:jc w:val="both"/>
        <w:textAlignment w:val="auto"/>
        <w:rPr>
          <w:rFonts w:hint="eastAsia" w:ascii="仿宋_GB2312" w:hAnsi="仿宋_GB2312" w:eastAsia="仿宋_GB2312" w:cs="仿宋_GB2312"/>
          <w:sz w:val="28"/>
          <w:szCs w:val="28"/>
          <w:highlight w:val="none"/>
          <w:u w:val="single"/>
          <w:lang w:val="en-US" w:eastAsia="zh-CN"/>
        </w:rPr>
      </w:pPr>
      <w:r>
        <w:rPr>
          <w:rFonts w:hint="eastAsia" w:ascii="仿宋_GB2312" w:hAnsi="仿宋_GB2312" w:eastAsia="仿宋_GB2312" w:cs="仿宋_GB2312"/>
          <w:sz w:val="28"/>
          <w:szCs w:val="28"/>
          <w:highlight w:val="none"/>
          <w:lang w:val="en-US" w:eastAsia="zh-CN"/>
        </w:rPr>
        <w:t>我方</w:t>
      </w:r>
      <w:r>
        <w:rPr>
          <w:rFonts w:hint="eastAsia" w:ascii="仿宋_GB2312" w:hAnsi="仿宋_GB2312" w:eastAsia="仿宋_GB2312" w:cs="仿宋_GB2312"/>
          <w:sz w:val="28"/>
          <w:szCs w:val="28"/>
          <w:highlight w:val="none"/>
          <w:u w:val="single"/>
          <w:lang w:val="en-US" w:eastAsia="zh-CN"/>
        </w:rPr>
        <w:t xml:space="preserve">                    </w:t>
      </w:r>
      <w:r>
        <w:rPr>
          <w:rFonts w:hint="eastAsia" w:ascii="仿宋_GB2312" w:hAnsi="仿宋_GB2312" w:eastAsia="仿宋_GB2312" w:cs="仿宋_GB2312"/>
          <w:sz w:val="28"/>
          <w:szCs w:val="28"/>
          <w:highlight w:val="none"/>
          <w:u w:val="none"/>
          <w:lang w:val="en-US" w:eastAsia="zh-CN"/>
        </w:rPr>
        <w:t>如被确认为</w:t>
      </w:r>
      <w:r>
        <w:rPr>
          <w:rFonts w:hint="eastAsia" w:ascii="仿宋_GB2312" w:hAnsi="仿宋_GB2312" w:eastAsia="仿宋_GB2312" w:cs="仿宋_GB2312"/>
          <w:sz w:val="28"/>
          <w:szCs w:val="28"/>
          <w:highlight w:val="none"/>
          <w:u w:val="single"/>
          <w:lang w:val="en-US" w:eastAsia="zh-CN"/>
        </w:rPr>
        <w:t xml:space="preserve">                </w:t>
      </w:r>
    </w:p>
    <w:p w14:paraId="521B56F4">
      <w:pPr>
        <w:keepNext w:val="0"/>
        <w:keepLines w:val="0"/>
        <w:pageBreakBefore w:val="0"/>
        <w:widowControl w:val="0"/>
        <w:kinsoku/>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sz w:val="28"/>
          <w:szCs w:val="28"/>
          <w:highlight w:val="none"/>
          <w:u w:val="single"/>
          <w:lang w:val="en-US" w:eastAsia="zh-CN"/>
        </w:rPr>
      </w:pPr>
      <w:r>
        <w:rPr>
          <w:rFonts w:hint="eastAsia" w:ascii="仿宋_GB2312" w:hAnsi="仿宋_GB2312" w:eastAsia="仿宋_GB2312" w:cs="仿宋_GB2312"/>
          <w:sz w:val="28"/>
          <w:szCs w:val="28"/>
          <w:highlight w:val="none"/>
          <w:u w:val="single"/>
          <w:lang w:val="en-US" w:eastAsia="zh-CN"/>
        </w:rPr>
        <w:t xml:space="preserve">                            （交易编号：           ） </w:t>
      </w:r>
    </w:p>
    <w:p w14:paraId="62614374">
      <w:pPr>
        <w:keepNext w:val="0"/>
        <w:keepLines w:val="0"/>
        <w:pageBreakBefore w:val="0"/>
        <w:widowControl w:val="0"/>
        <w:kinsoku/>
        <w:overflowPunct/>
        <w:topLinePunct w:val="0"/>
        <w:autoSpaceDE/>
        <w:autoSpaceDN/>
        <w:bidi w:val="0"/>
        <w:adjustRightInd/>
        <w:snapToGrid/>
        <w:spacing w:line="500" w:lineRule="exact"/>
        <w:jc w:val="both"/>
        <w:textAlignment w:val="auto"/>
        <w:rPr>
          <w:rFonts w:hint="eastAsia" w:ascii="仿宋_GB2312" w:hAnsi="仿宋_GB2312" w:eastAsia="仿宋_GB2312" w:cs="仿宋_GB2312"/>
          <w:sz w:val="28"/>
          <w:szCs w:val="28"/>
          <w:highlight w:val="none"/>
          <w:u w:val="none"/>
          <w:lang w:val="en-US" w:eastAsia="zh-CN"/>
        </w:rPr>
      </w:pPr>
      <w:r>
        <w:rPr>
          <w:rFonts w:hint="eastAsia" w:ascii="仿宋_GB2312" w:hAnsi="仿宋_GB2312" w:eastAsia="仿宋_GB2312" w:cs="仿宋_GB2312"/>
          <w:sz w:val="28"/>
          <w:szCs w:val="28"/>
          <w:highlight w:val="none"/>
          <w:u w:val="none"/>
          <w:lang w:val="en-US" w:eastAsia="zh-CN"/>
        </w:rPr>
        <w:t>的承租方，承诺有关条款如下：</w:t>
      </w:r>
    </w:p>
    <w:p w14:paraId="3A55C098">
      <w:pPr>
        <w:pStyle w:val="2"/>
        <w:keepNext w:val="0"/>
        <w:keepLines w:val="0"/>
        <w:widowControl/>
        <w:suppressLineNumbers w:val="0"/>
        <w:spacing w:before="75" w:beforeAutospacing="0" w:after="75" w:afterAutospacing="0"/>
        <w:ind w:left="0" w:right="0" w:firstLine="560" w:firstLineChars="200"/>
        <w:rPr>
          <w:rFonts w:hint="eastAsia"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1.</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委托方按交易标的现状(包括但不限于现有质量、消防状况、房屋结构、交付使用时依附于交易标的的装修装饰状况)和指定用途出租，不包括交易标的内可移动的设施、设备和物品。</w:t>
      </w:r>
    </w:p>
    <w:p w14:paraId="1F4D88B2">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2.</w:t>
      </w:r>
      <w:r>
        <w:rPr>
          <w:rFonts w:hint="eastAsia" w:ascii="仿宋_GB2312" w:hAnsi="仿宋_GB2312" w:eastAsia="仿宋_GB2312" w:cs="仿宋_GB2312"/>
          <w:kern w:val="2"/>
          <w:sz w:val="28"/>
          <w:szCs w:val="28"/>
          <w:highlight w:val="none"/>
          <w:u w:val="none"/>
          <w:lang w:val="en-US" w:eastAsia="zh-CN" w:bidi="ar-SA"/>
        </w:rPr>
        <w:t>我方已知悉出租标的</w:t>
      </w:r>
      <w:r>
        <w:rPr>
          <w:rFonts w:hint="default" w:ascii="仿宋_GB2312" w:hAnsi="仿宋_GB2312" w:eastAsia="仿宋_GB2312" w:cs="仿宋_GB2312"/>
          <w:kern w:val="2"/>
          <w:sz w:val="28"/>
          <w:szCs w:val="28"/>
          <w:highlight w:val="none"/>
          <w:u w:val="none"/>
          <w:lang w:val="en-US" w:eastAsia="zh-CN" w:bidi="ar-SA"/>
        </w:rPr>
        <w:t>用作公寓、民宿类用途（不得经营明火餐饮、汽车行业、电动自行车行业，不得用于销售、生产、回收影响生态环境的产品及环保禁止行业，禁止使用罐装煤气，不得用于生产、加工、经营及存放易燃、易爆、有毒等危险物品，不得经营冷库、仓储、殡礼以及产生噪音、污染等影响周边居民生活及环境的业态 。如原承租方承租，可在符合国家消防安全及环保规定的前提下按原公寓用途使用）。</w:t>
      </w:r>
    </w:p>
    <w:p w14:paraId="05BCC50A">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3.</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出租面积即为建筑面积，日后租赁合同的签订、租金的缴交均以招租公告中出租面积为准。任何意向承租方参与本次招租，均视为接受本条款约定，各意向承租方均应事先考虑该出租面积可能与实际使用面积存在的差异，并自行承担面积可能存在差异的风险，及合理确定报价。</w:t>
      </w:r>
    </w:p>
    <w:p w14:paraId="2FC1A0BA">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4.</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交易标的可能存在施工手续不全、建筑图纸资料不齐备或与现状不符、竣工验收或消防验收手续不全等问题。承租方已对租赁物业做了充分了解，知 悉和认可租赁物业的现状。承租方愿意承担租赁物业瑕疵或缺陷(如有)可能对租赁物业使用和经营造成的风险，并不因此而延迟、拒绝履行其合同约定义务和法定义务。</w:t>
      </w:r>
    </w:p>
    <w:p w14:paraId="791A8549">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5.</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承租方根据使用需要办理用水用电业务的，由承租方负责申报，相关费用由承租方负担，出租方配合办理。承租方不得以因任何原因造成未能办理用水用电业务为由主张解除合同或者追究出租方及广州产权交易所有限公司的责任，不得以此为由拒付租金及其它费用，也不得以此为由拒绝履行合同项下的义务。</w:t>
      </w:r>
    </w:p>
    <w:p w14:paraId="67303DD8">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6.</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出租标的按现状出租。部分消防设备设施、及其他未固定装修为原承租方出资安装，承租方需知悉相关内容及存在补偿诉求的风险。</w:t>
      </w:r>
    </w:p>
    <w:p w14:paraId="688F5004">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8.</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为防止承租方改变主体结构产生安全问题</w:t>
      </w:r>
      <w:r>
        <w:rPr>
          <w:rFonts w:hint="eastAsia" w:ascii="仿宋_GB2312" w:hAnsi="仿宋_GB2312" w:eastAsia="仿宋_GB2312" w:cs="仿宋_GB2312"/>
          <w:kern w:val="2"/>
          <w:sz w:val="28"/>
          <w:szCs w:val="28"/>
          <w:highlight w:val="none"/>
          <w:u w:val="none"/>
          <w:lang w:val="en-US" w:eastAsia="zh-CN" w:bidi="ar-SA"/>
        </w:rPr>
        <w:t>及防止</w:t>
      </w:r>
      <w:r>
        <w:rPr>
          <w:rFonts w:hint="default" w:ascii="仿宋_GB2312" w:hAnsi="仿宋_GB2312" w:eastAsia="仿宋_GB2312" w:cs="仿宋_GB2312"/>
          <w:kern w:val="2"/>
          <w:sz w:val="28"/>
          <w:szCs w:val="28"/>
          <w:highlight w:val="none"/>
          <w:u w:val="none"/>
          <w:lang w:val="en-US" w:eastAsia="zh-CN" w:bidi="ar-SA"/>
        </w:rPr>
        <w:t>将房屋装修用于出租方限制行业（明火餐饮、汽车行业等），承租方需将出租标的的装修图纸在事前报出租方及出租标的所在地的有关行政管理部门备案，经出租方及出租标的所在地的有关行政管理部门同意后，承租方应委托具备相应资质的施工单位及监理单位严格按照图纸施工。装修完成后，必须经出租方、设计单位、施工单位、监理单位及有关行政管理部门验收合格并取得消防验收手续才能经营。</w:t>
      </w:r>
    </w:p>
    <w:p w14:paraId="12F536DE">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9.</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合同约定的租赁期届满后，承租方须无条件腾空交还房屋并缴清租金和其他应缴纳的费用。承租方在租赁期间所投入的装修装饰、增加设备设施及建设费用为承租方单方无偿投资，在交还房屋时，出租方不予任何补偿。</w:t>
      </w:r>
    </w:p>
    <w:p w14:paraId="2FB8903F">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10.</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意向承租方须自行办理包括但不限于营业执照、经营许可证等经营所需的所有证照和手续，如需出租方配合提供有关资料的，出租方可视情况协助提供。承租方不得以未办理或不能办理与营业相关的证照为由延期缴付、拒付租金或单方解除合同，且不得以此为由向出租方追究任何责任等。</w:t>
      </w:r>
    </w:p>
    <w:p w14:paraId="60BF36A3">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11.</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意向承租方须按照相关消防规定自行负责向相关职能部门办理包括但不限于二次消防改造、报审、报批等手续，并承担由此产生的一切费用。意向承租方不得以交易标的无法办理二次消防为由向出租方提出任何延期支付租金、免租、降租、索赔或终止租赁合同等。</w:t>
      </w:r>
    </w:p>
    <w:p w14:paraId="410E7943">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12.</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承租方需自行投资改造交易标的，直至满足消防验收规范，否则由此产生 的相关风险由承租方自行承担。</w:t>
      </w:r>
    </w:p>
    <w:p w14:paraId="0539D1E8">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13.</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一旦缴纳交易保证金即表示认可出租标的现有质量、现状。</w:t>
      </w:r>
      <w:r>
        <w:rPr>
          <w:rFonts w:hint="eastAsia" w:ascii="仿宋_GB2312" w:hAnsi="仿宋_GB2312" w:eastAsia="仿宋_GB2312" w:cs="仿宋_GB2312"/>
          <w:kern w:val="2"/>
          <w:sz w:val="28"/>
          <w:szCs w:val="28"/>
          <w:highlight w:val="none"/>
          <w:u w:val="none"/>
          <w:lang w:val="en-US" w:eastAsia="zh-CN" w:bidi="ar-SA"/>
        </w:rPr>
        <w:t>我</w:t>
      </w:r>
      <w:r>
        <w:rPr>
          <w:rFonts w:hint="default" w:ascii="仿宋_GB2312" w:hAnsi="仿宋_GB2312" w:eastAsia="仿宋_GB2312" w:cs="仿宋_GB2312"/>
          <w:kern w:val="2"/>
          <w:sz w:val="28"/>
          <w:szCs w:val="28"/>
          <w:highlight w:val="none"/>
          <w:u w:val="none"/>
          <w:lang w:val="en-US" w:eastAsia="zh-CN" w:bidi="ar-SA"/>
        </w:rPr>
        <w:t>方被确认为承租方后，须承担租赁期内房屋的装饰装潢、给排水、电气线路等修缮责任，对房屋进行维修产生的费用、投入房屋装修装饰的费用及增加设备设施的费用，为</w:t>
      </w:r>
      <w:r>
        <w:rPr>
          <w:rFonts w:hint="eastAsia" w:ascii="仿宋_GB2312" w:hAnsi="仿宋_GB2312" w:eastAsia="仿宋_GB2312" w:cs="仿宋_GB2312"/>
          <w:kern w:val="2"/>
          <w:sz w:val="28"/>
          <w:szCs w:val="28"/>
          <w:highlight w:val="none"/>
          <w:u w:val="none"/>
          <w:lang w:val="en-US" w:eastAsia="zh-CN" w:bidi="ar-SA"/>
        </w:rPr>
        <w:t>我</w:t>
      </w:r>
      <w:r>
        <w:rPr>
          <w:rFonts w:hint="default" w:ascii="仿宋_GB2312" w:hAnsi="仿宋_GB2312" w:eastAsia="仿宋_GB2312" w:cs="仿宋_GB2312"/>
          <w:kern w:val="2"/>
          <w:sz w:val="28"/>
          <w:szCs w:val="28"/>
          <w:highlight w:val="none"/>
          <w:u w:val="none"/>
          <w:lang w:val="en-US" w:eastAsia="zh-CN" w:bidi="ar-SA"/>
        </w:rPr>
        <w:t>方单方无偿投资，租赁期满或租赁关系终止时，出租方不作任何补偿。</w:t>
      </w:r>
    </w:p>
    <w:p w14:paraId="2F0DDE8C">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14.</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交易标的无配套停车位，承租方不得以无停车位影响经营为由要求降租、赔或拒缴租金等。</w:t>
      </w:r>
    </w:p>
    <w:p w14:paraId="6E359EE5">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15.</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租赁期限内，</w:t>
      </w:r>
      <w:r>
        <w:rPr>
          <w:rFonts w:hint="eastAsia" w:ascii="仿宋_GB2312" w:hAnsi="仿宋_GB2312" w:eastAsia="仿宋_GB2312" w:cs="仿宋_GB2312"/>
          <w:kern w:val="2"/>
          <w:sz w:val="28"/>
          <w:szCs w:val="28"/>
          <w:highlight w:val="none"/>
          <w:u w:val="none"/>
          <w:lang w:val="en-US" w:eastAsia="zh-CN" w:bidi="ar-SA"/>
        </w:rPr>
        <w:t>不得</w:t>
      </w:r>
      <w:r>
        <w:rPr>
          <w:rFonts w:hint="default" w:ascii="仿宋_GB2312" w:hAnsi="仿宋_GB2312" w:eastAsia="仿宋_GB2312" w:cs="仿宋_GB2312"/>
          <w:kern w:val="2"/>
          <w:sz w:val="28"/>
          <w:szCs w:val="28"/>
          <w:highlight w:val="none"/>
          <w:u w:val="none"/>
          <w:lang w:val="en-US" w:eastAsia="zh-CN" w:bidi="ar-SA"/>
        </w:rPr>
        <w:t>对交易标的进行分租及整体转租。</w:t>
      </w:r>
    </w:p>
    <w:p w14:paraId="07487728">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1</w:t>
      </w:r>
      <w:r>
        <w:rPr>
          <w:rFonts w:hint="eastAsia" w:ascii="仿宋_GB2312" w:hAnsi="仿宋_GB2312" w:eastAsia="仿宋_GB2312" w:cs="仿宋_GB2312"/>
          <w:kern w:val="2"/>
          <w:sz w:val="28"/>
          <w:szCs w:val="28"/>
          <w:highlight w:val="none"/>
          <w:u w:val="none"/>
          <w:lang w:val="en-US" w:eastAsia="zh-CN" w:bidi="ar-SA"/>
        </w:rPr>
        <w:t>6</w:t>
      </w:r>
      <w:r>
        <w:rPr>
          <w:rFonts w:hint="default" w:ascii="仿宋_GB2312" w:hAnsi="仿宋_GB2312" w:eastAsia="仿宋_GB2312" w:cs="仿宋_GB2312"/>
          <w:kern w:val="2"/>
          <w:sz w:val="28"/>
          <w:szCs w:val="28"/>
          <w:highlight w:val="none"/>
          <w:u w:val="none"/>
          <w:lang w:val="en-US" w:eastAsia="zh-CN" w:bidi="ar-SA"/>
        </w:rPr>
        <w:t>.</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在签订租赁合同</w:t>
      </w:r>
      <w:r>
        <w:rPr>
          <w:rFonts w:hint="eastAsia" w:ascii="仿宋_GB2312" w:hAnsi="仿宋_GB2312" w:eastAsia="仿宋_GB2312" w:cs="仿宋_GB2312"/>
          <w:kern w:val="2"/>
          <w:sz w:val="28"/>
          <w:szCs w:val="28"/>
          <w:highlight w:val="none"/>
          <w:u w:val="none"/>
          <w:lang w:val="en-US" w:eastAsia="zh-CN" w:bidi="ar-SA"/>
        </w:rPr>
        <w:t>7天内</w:t>
      </w:r>
      <w:r>
        <w:rPr>
          <w:rFonts w:hint="default" w:ascii="仿宋_GB2312" w:hAnsi="仿宋_GB2312" w:eastAsia="仿宋_GB2312" w:cs="仿宋_GB2312"/>
          <w:kern w:val="2"/>
          <w:sz w:val="28"/>
          <w:szCs w:val="28"/>
          <w:highlight w:val="none"/>
          <w:u w:val="none"/>
          <w:lang w:val="en-US" w:eastAsia="zh-CN" w:bidi="ar-SA"/>
        </w:rPr>
        <w:t>，须向出租方缴纳首年三个月租金作为履约保证金及水电费保证金贰万元，</w:t>
      </w:r>
      <w:r>
        <w:rPr>
          <w:rFonts w:hint="eastAsia" w:ascii="仿宋_GB2312" w:hAnsi="仿宋_GB2312" w:eastAsia="仿宋_GB2312" w:cs="仿宋_GB2312"/>
          <w:kern w:val="2"/>
          <w:sz w:val="28"/>
          <w:szCs w:val="28"/>
          <w:highlight w:val="none"/>
          <w:u w:val="none"/>
          <w:lang w:val="en-US" w:eastAsia="zh-CN" w:bidi="ar-SA"/>
        </w:rPr>
        <w:t>签订合同当日</w:t>
      </w:r>
      <w:r>
        <w:rPr>
          <w:rFonts w:hint="default" w:ascii="仿宋_GB2312" w:hAnsi="仿宋_GB2312" w:eastAsia="仿宋_GB2312" w:cs="仿宋_GB2312"/>
          <w:kern w:val="2"/>
          <w:sz w:val="28"/>
          <w:szCs w:val="28"/>
          <w:highlight w:val="none"/>
          <w:u w:val="none"/>
          <w:lang w:val="en-US" w:eastAsia="zh-CN" w:bidi="ar-SA"/>
        </w:rPr>
        <w:t>预缴首年三个月租金</w:t>
      </w:r>
    </w:p>
    <w:p w14:paraId="50E68313">
      <w:pPr>
        <w:pStyle w:val="7"/>
        <w:numPr>
          <w:ilvl w:val="0"/>
          <w:numId w:val="0"/>
        </w:numPr>
        <w:tabs>
          <w:tab w:val="left" w:pos="1000"/>
        </w:tabs>
        <w:spacing w:before="0" w:after="0" w:line="312" w:lineRule="auto"/>
        <w:ind w:right="409" w:rightChars="0" w:firstLine="560" w:firstLineChars="200"/>
        <w:jc w:val="both"/>
        <w:rPr>
          <w:rFonts w:hint="eastAsia" w:ascii="仿宋_GB2312" w:hAnsi="仿宋_GB2312" w:eastAsia="仿宋_GB2312" w:cs="仿宋_GB2312"/>
          <w:kern w:val="2"/>
          <w:sz w:val="28"/>
          <w:szCs w:val="28"/>
          <w:highlight w:val="none"/>
          <w:u w:val="none"/>
          <w:lang w:val="en-US" w:eastAsia="zh-CN" w:bidi="ar-SA"/>
        </w:rPr>
      </w:pPr>
      <w:r>
        <w:rPr>
          <w:rFonts w:hint="eastAsia" w:ascii="仿宋_GB2312" w:hAnsi="仿宋_GB2312" w:eastAsia="仿宋_GB2312" w:cs="仿宋_GB2312"/>
          <w:kern w:val="2"/>
          <w:sz w:val="28"/>
          <w:szCs w:val="28"/>
          <w:highlight w:val="none"/>
          <w:u w:val="none"/>
          <w:lang w:val="en-US" w:eastAsia="zh-CN" w:bidi="ar-SA"/>
        </w:rPr>
        <w:t>17</w:t>
      </w:r>
      <w:r>
        <w:rPr>
          <w:rFonts w:hint="eastAsia" w:cs="仿宋_GB2312"/>
          <w:kern w:val="2"/>
          <w:sz w:val="28"/>
          <w:szCs w:val="28"/>
          <w:highlight w:val="none"/>
          <w:u w:val="none"/>
          <w:lang w:val="en-US" w:eastAsia="zh-CN" w:bidi="ar-SA"/>
        </w:rPr>
        <w:t>.</w:t>
      </w:r>
      <w:r>
        <w:rPr>
          <w:rFonts w:hint="eastAsia" w:ascii="仿宋_GB2312" w:hAnsi="仿宋_GB2312" w:eastAsia="仿宋_GB2312" w:cs="仿宋_GB2312"/>
          <w:kern w:val="2"/>
          <w:sz w:val="28"/>
          <w:szCs w:val="28"/>
          <w:highlight w:val="none"/>
          <w:u w:val="none"/>
          <w:lang w:val="en-US" w:eastAsia="zh-CN" w:bidi="ar-SA"/>
        </w:rPr>
        <w:t>我方已知悉贵司正对上述地址物业进行租赁价值评估工作，至今暂未完成评估流程。如遇物业评估流程及相关评估报告在我方合同履行期间完成的，且我方承租物业的评估月租金价格高于合同约定月租金的，届时我方将自愿、及时补缴物业租赁（使用）期间的月租金差价给贵司；同时，合同规定租金有递增的，以贵司的租金评估价为首年基准价，按照合同规定的租金递增率调整相应年份的租金。否则贵司有权在未经我方同意情况下，直接在保证金中扣除我方应补缴的相关费用和不予退回保证金余额，如若出现保证金不足抵扣欠缴费用情况的，不足部分由我方自行补齐。</w:t>
      </w:r>
    </w:p>
    <w:p w14:paraId="37943769">
      <w:pPr>
        <w:pStyle w:val="2"/>
        <w:keepNext w:val="0"/>
        <w:keepLines w:val="0"/>
        <w:widowControl/>
        <w:suppressLineNumbers w:val="0"/>
        <w:spacing w:before="75" w:beforeAutospacing="0" w:after="75" w:afterAutospacing="0"/>
        <w:ind w:left="0" w:right="0" w:firstLine="560" w:firstLineChars="200"/>
        <w:rPr>
          <w:rFonts w:hint="default" w:ascii="仿宋_GB2312" w:hAnsi="仿宋_GB2312" w:eastAsia="仿宋_GB2312" w:cs="仿宋_GB2312"/>
          <w:kern w:val="2"/>
          <w:sz w:val="28"/>
          <w:szCs w:val="28"/>
          <w:highlight w:val="none"/>
          <w:u w:val="none"/>
          <w:lang w:val="en-US" w:eastAsia="zh-CN" w:bidi="ar-SA"/>
        </w:rPr>
      </w:pPr>
      <w:r>
        <w:rPr>
          <w:rFonts w:hint="default" w:ascii="仿宋_GB2312" w:hAnsi="仿宋_GB2312" w:eastAsia="仿宋_GB2312" w:cs="仿宋_GB2312"/>
          <w:kern w:val="2"/>
          <w:sz w:val="28"/>
          <w:szCs w:val="28"/>
          <w:highlight w:val="none"/>
          <w:u w:val="none"/>
          <w:lang w:val="en-US" w:eastAsia="zh-CN" w:bidi="ar-SA"/>
        </w:rPr>
        <w:t>1</w:t>
      </w:r>
      <w:r>
        <w:rPr>
          <w:rFonts w:hint="eastAsia" w:ascii="仿宋_GB2312" w:hAnsi="仿宋_GB2312" w:eastAsia="仿宋_GB2312" w:cs="仿宋_GB2312"/>
          <w:kern w:val="2"/>
          <w:sz w:val="28"/>
          <w:szCs w:val="28"/>
          <w:highlight w:val="none"/>
          <w:u w:val="none"/>
          <w:lang w:val="en-US" w:eastAsia="zh-CN" w:bidi="ar-SA"/>
        </w:rPr>
        <w:t>8</w:t>
      </w:r>
      <w:r>
        <w:rPr>
          <w:rFonts w:hint="default" w:ascii="仿宋_GB2312" w:hAnsi="仿宋_GB2312" w:eastAsia="仿宋_GB2312" w:cs="仿宋_GB2312"/>
          <w:kern w:val="2"/>
          <w:sz w:val="28"/>
          <w:szCs w:val="28"/>
          <w:highlight w:val="none"/>
          <w:u w:val="none"/>
          <w:lang w:val="en-US" w:eastAsia="zh-CN" w:bidi="ar-SA"/>
        </w:rPr>
        <w:t>.</w:t>
      </w:r>
      <w:r>
        <w:rPr>
          <w:rFonts w:hint="eastAsia" w:ascii="仿宋_GB2312" w:hAnsi="仿宋_GB2312" w:eastAsia="仿宋_GB2312" w:cs="仿宋_GB2312"/>
          <w:kern w:val="2"/>
          <w:sz w:val="28"/>
          <w:szCs w:val="28"/>
          <w:highlight w:val="none"/>
          <w:u w:val="none"/>
          <w:lang w:val="en-US" w:eastAsia="zh-CN" w:bidi="ar-SA"/>
        </w:rPr>
        <w:t>我方已知悉</w:t>
      </w:r>
      <w:r>
        <w:rPr>
          <w:rFonts w:hint="default" w:ascii="仿宋_GB2312" w:hAnsi="仿宋_GB2312" w:eastAsia="仿宋_GB2312" w:cs="仿宋_GB2312"/>
          <w:kern w:val="2"/>
          <w:sz w:val="28"/>
          <w:szCs w:val="28"/>
          <w:highlight w:val="none"/>
          <w:u w:val="none"/>
          <w:lang w:val="en-US" w:eastAsia="zh-CN" w:bidi="ar-SA"/>
        </w:rPr>
        <w:t>本交易标的目前为原承租人（优先权人）使用中，如原承租人未能竞得本交易标的，则原承租人将</w:t>
      </w:r>
      <w:bookmarkStart w:id="0" w:name="_GoBack"/>
      <w:bookmarkEnd w:id="0"/>
      <w:r>
        <w:rPr>
          <w:rFonts w:hint="default" w:ascii="仿宋_GB2312" w:hAnsi="仿宋_GB2312" w:eastAsia="仿宋_GB2312" w:cs="仿宋_GB2312"/>
          <w:kern w:val="2"/>
          <w:sz w:val="28"/>
          <w:szCs w:val="28"/>
          <w:highlight w:val="none"/>
          <w:u w:val="none"/>
          <w:lang w:val="en-US" w:eastAsia="zh-CN" w:bidi="ar-SA"/>
        </w:rPr>
        <w:t>移交交易标的予承租方。如在第三方竞得本交易标的情况下，原承租人拒绝交还场地予出租方或拒绝移交场地予承租方的，出租方在成交确认后的60天内无法移交予承租方的，届时本次交易将自动终止，意向承租方在参与报名本出租项目时已知悉该潜在风险，因此意向承租方不得以出租方无法移交场地为由追究出租方或广州产权交易所的相关责任，本次交易所产生的相关服务费仍按交易披露由意向承租方承担，意向方须谨慎调研本交易标的经营可行性以及提前进行经营测算分析。</w:t>
      </w:r>
    </w:p>
    <w:p w14:paraId="7DD80BBC">
      <w:pPr>
        <w:keepNext w:val="0"/>
        <w:keepLines w:val="0"/>
        <w:pageBreakBefore w:val="0"/>
        <w:widowControl w:val="0"/>
        <w:tabs>
          <w:tab w:val="left" w:pos="240"/>
        </w:tabs>
        <w:kinsoku/>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highlight w:val="none"/>
          <w:u w:val="none"/>
          <w:lang w:val="en-US" w:eastAsia="zh-CN"/>
        </w:rPr>
      </w:pPr>
    </w:p>
    <w:p w14:paraId="177B08CB">
      <w:pPr>
        <w:keepNext w:val="0"/>
        <w:keepLines w:val="0"/>
        <w:pageBreakBefore w:val="0"/>
        <w:widowControl w:val="0"/>
        <w:tabs>
          <w:tab w:val="left" w:pos="240"/>
        </w:tabs>
        <w:kinsoku/>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highlight w:val="none"/>
          <w:u w:val="none"/>
          <w:lang w:val="en-US" w:eastAsia="zh-CN"/>
        </w:rPr>
      </w:pPr>
    </w:p>
    <w:p w14:paraId="470AB62B">
      <w:pPr>
        <w:keepNext w:val="0"/>
        <w:keepLines w:val="0"/>
        <w:pageBreakBefore w:val="0"/>
        <w:widowControl w:val="0"/>
        <w:tabs>
          <w:tab w:val="left" w:pos="240"/>
        </w:tabs>
        <w:kinsoku/>
        <w:overflowPunct/>
        <w:topLinePunct w:val="0"/>
        <w:autoSpaceDE/>
        <w:autoSpaceDN/>
        <w:bidi w:val="0"/>
        <w:adjustRightInd/>
        <w:snapToGrid/>
        <w:spacing w:line="500" w:lineRule="exact"/>
        <w:textAlignment w:val="auto"/>
        <w:rPr>
          <w:rFonts w:hint="eastAsia" w:ascii="仿宋_GB2312" w:hAnsi="仿宋_GB2312" w:eastAsia="仿宋_GB2312" w:cs="仿宋_GB2312"/>
          <w:kern w:val="2"/>
          <w:sz w:val="28"/>
          <w:szCs w:val="28"/>
          <w:highlight w:val="none"/>
          <w:u w:val="none"/>
          <w:lang w:val="en-US" w:eastAsia="zh-CN" w:bidi="ar-SA"/>
        </w:rPr>
      </w:pPr>
    </w:p>
    <w:p w14:paraId="1F936D6D">
      <w:pPr>
        <w:keepNext w:val="0"/>
        <w:keepLines w:val="0"/>
        <w:pageBreakBefore w:val="0"/>
        <w:widowControl w:val="0"/>
        <w:kinsoku/>
        <w:wordWrap w:val="0"/>
        <w:overflowPunct/>
        <w:topLinePunct w:val="0"/>
        <w:autoSpaceDE/>
        <w:autoSpaceDN/>
        <w:bidi w:val="0"/>
        <w:adjustRightInd/>
        <w:snapToGrid/>
        <w:spacing w:line="500" w:lineRule="exact"/>
        <w:ind w:firstLine="640"/>
        <w:jc w:val="right"/>
        <w:textAlignment w:val="auto"/>
        <w:rPr>
          <w:rFonts w:hint="eastAsia" w:ascii="仿宋_GB2312" w:hAnsi="仿宋_GB2312" w:eastAsia="仿宋_GB2312" w:cs="仿宋_GB2312"/>
          <w:kern w:val="2"/>
          <w:sz w:val="28"/>
          <w:szCs w:val="28"/>
          <w:highlight w:val="none"/>
          <w:u w:val="none"/>
          <w:lang w:val="en-US" w:eastAsia="zh-CN" w:bidi="ar-SA"/>
        </w:rPr>
      </w:pPr>
      <w:r>
        <w:rPr>
          <w:rFonts w:hint="eastAsia" w:ascii="仿宋_GB2312" w:hAnsi="仿宋_GB2312" w:eastAsia="仿宋_GB2312" w:cs="仿宋_GB2312"/>
          <w:kern w:val="2"/>
          <w:sz w:val="28"/>
          <w:szCs w:val="28"/>
          <w:highlight w:val="none"/>
          <w:u w:val="none"/>
          <w:lang w:val="en-US" w:eastAsia="zh-CN" w:bidi="ar-SA"/>
        </w:rPr>
        <w:t xml:space="preserve">承诺人：             </w:t>
      </w:r>
    </w:p>
    <w:p w14:paraId="66093169">
      <w:pPr>
        <w:ind w:firstLine="5040" w:firstLineChars="1800"/>
        <w:rPr>
          <w:rFonts w:hint="default" w:ascii="仿宋_GB2312" w:hAnsi="仿宋_GB2312" w:eastAsia="仿宋_GB2312" w:cs="仿宋_GB2312"/>
          <w:kern w:val="2"/>
          <w:sz w:val="28"/>
          <w:szCs w:val="28"/>
          <w:highlight w:val="none"/>
          <w:u w:val="none"/>
          <w:lang w:val="en-US" w:eastAsia="zh-CN" w:bidi="ar-SA"/>
        </w:rPr>
      </w:pPr>
      <w:r>
        <w:rPr>
          <w:rFonts w:hint="eastAsia" w:ascii="仿宋_GB2312" w:hAnsi="仿宋_GB2312" w:eastAsia="仿宋_GB2312" w:cs="仿宋_GB2312"/>
          <w:kern w:val="2"/>
          <w:sz w:val="28"/>
          <w:szCs w:val="28"/>
          <w:highlight w:val="none"/>
          <w:u w:val="none"/>
          <w:lang w:val="en-US" w:eastAsia="zh-CN" w:bidi="ar-SA"/>
        </w:rPr>
        <w:t>联系电话：</w:t>
      </w:r>
    </w:p>
    <w:p w14:paraId="7EF0CA99">
      <w:pPr>
        <w:ind w:firstLine="5600" w:firstLineChars="2000"/>
        <w:rPr>
          <w:rFonts w:hint="default" w:ascii="仿宋_GB2312" w:hAnsi="仿宋_GB2312" w:eastAsia="仿宋_GB2312" w:cs="仿宋_GB2312"/>
          <w:kern w:val="2"/>
          <w:sz w:val="28"/>
          <w:szCs w:val="28"/>
          <w:highlight w:val="none"/>
          <w:u w:val="none"/>
          <w:lang w:val="en-US" w:eastAsia="zh-CN" w:bidi="ar-SA"/>
        </w:rPr>
      </w:pPr>
      <w:r>
        <w:rPr>
          <w:rFonts w:hint="eastAsia" w:ascii="仿宋_GB2312" w:hAnsi="仿宋_GB2312" w:eastAsia="仿宋_GB2312" w:cs="仿宋_GB2312"/>
          <w:kern w:val="2"/>
          <w:sz w:val="28"/>
          <w:szCs w:val="28"/>
          <w:highlight w:val="none"/>
          <w:u w:val="none"/>
          <w:lang w:val="en-US" w:eastAsia="zh-CN" w:bidi="ar-SA"/>
        </w:rPr>
        <w:t>时间：</w:t>
      </w:r>
    </w:p>
    <w:p w14:paraId="0770DB0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DD016D"/>
    <w:rsid w:val="02247ACE"/>
    <w:rsid w:val="025B2DC4"/>
    <w:rsid w:val="05EB743C"/>
    <w:rsid w:val="0DA10095"/>
    <w:rsid w:val="0EF81121"/>
    <w:rsid w:val="0FDD016D"/>
    <w:rsid w:val="11DC7C13"/>
    <w:rsid w:val="121216F1"/>
    <w:rsid w:val="14865438"/>
    <w:rsid w:val="15DB6F2A"/>
    <w:rsid w:val="196B3AA0"/>
    <w:rsid w:val="1B903686"/>
    <w:rsid w:val="1CC4027F"/>
    <w:rsid w:val="1D5C7CC4"/>
    <w:rsid w:val="1F741103"/>
    <w:rsid w:val="20D434D6"/>
    <w:rsid w:val="23AE3F45"/>
    <w:rsid w:val="26DE5BEE"/>
    <w:rsid w:val="27913061"/>
    <w:rsid w:val="29C235A5"/>
    <w:rsid w:val="2A3779EA"/>
    <w:rsid w:val="2ECB514D"/>
    <w:rsid w:val="2F034443"/>
    <w:rsid w:val="307F5D4C"/>
    <w:rsid w:val="31382BF8"/>
    <w:rsid w:val="366F6862"/>
    <w:rsid w:val="36FD79CA"/>
    <w:rsid w:val="3B7B19C0"/>
    <w:rsid w:val="3C643A21"/>
    <w:rsid w:val="3DBF1A26"/>
    <w:rsid w:val="3DDF607B"/>
    <w:rsid w:val="449927F2"/>
    <w:rsid w:val="451F76A5"/>
    <w:rsid w:val="48594C7C"/>
    <w:rsid w:val="48BE57BF"/>
    <w:rsid w:val="5051105B"/>
    <w:rsid w:val="569C6DA8"/>
    <w:rsid w:val="5D853ABF"/>
    <w:rsid w:val="60C63B4D"/>
    <w:rsid w:val="61103810"/>
    <w:rsid w:val="622D4D58"/>
    <w:rsid w:val="6BAC4F3F"/>
    <w:rsid w:val="6EBE3907"/>
    <w:rsid w:val="6EF72976"/>
    <w:rsid w:val="6F8200AB"/>
    <w:rsid w:val="703C2F7E"/>
    <w:rsid w:val="74AF5AA0"/>
    <w:rsid w:val="768A7E88"/>
    <w:rsid w:val="7AFF573A"/>
    <w:rsid w:val="7E4153EE"/>
    <w:rsid w:val="7EA3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Text"/>
    <w:basedOn w:val="1"/>
    <w:semiHidden/>
    <w:qFormat/>
    <w:uiPriority w:val="0"/>
    <w:rPr>
      <w:rFonts w:ascii="宋体" w:hAnsi="宋体" w:eastAsia="宋体" w:cs="宋体"/>
      <w:sz w:val="19"/>
      <w:szCs w:val="19"/>
      <w:lang w:val="en-US" w:eastAsia="en-US" w:bidi="ar-SA"/>
    </w:rPr>
  </w:style>
  <w:style w:type="paragraph" w:styleId="7">
    <w:name w:val="List Paragraph"/>
    <w:basedOn w:val="1"/>
    <w:qFormat/>
    <w:uiPriority w:val="1"/>
    <w:pPr>
      <w:ind w:left="100" w:firstLine="600"/>
    </w:pPr>
    <w:rPr>
      <w:rFonts w:ascii="仿宋_GB2312" w:hAnsi="仿宋_GB2312" w:eastAsia="仿宋_GB2312" w:cs="仿宋_GB2312"/>
      <w:lang w:val="zh-CN" w:eastAsia="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592</Words>
  <Characters>596</Characters>
  <Lines>0</Lines>
  <Paragraphs>0</Paragraphs>
  <TotalTime>3</TotalTime>
  <ScaleCrop>false</ScaleCrop>
  <LinksUpToDate>false</LinksUpToDate>
  <CharactersWithSpaces>674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2026-08-04T10:58:00Z</dcterms:created>
  <dc:creator>陈问子</dc:creator>
  <cp:lastModifiedBy>新</cp:lastModifiedBy>
  <dcterms:modified xsi:type="dcterms:W3CDTF">2026-11-04T03:15:10Z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D0FEE0F262184663BE42C51C98A27BE3_13</vt:lpwstr>
  </property>
  <property fmtid="{D5CDD505-2E9C-101B-9397-08002B2CF9AE}" pid="4" name="KSOTemplateDocerSaveRecord">
    <vt:lpwstr>eyJoZGlkIjoiNzQzNDBiZGNhMmFiNTg3ZDMxYWQxYzg5YjVkODZjYzYiLCJ1c2VySWQiOiIyMzg0MDg2NDEifQ==</vt:lpwstr>
  </property>
</Properties>
</file>