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3C6FE">
      <w:pPr>
        <w:tabs>
          <w:tab w:val="center" w:pos="4229"/>
          <w:tab w:val="left" w:pos="6675"/>
        </w:tabs>
        <w:spacing w:line="360" w:lineRule="auto"/>
        <w:ind w:right="-69"/>
        <w:jc w:val="left"/>
        <w:rPr>
          <w:rFonts w:hint="eastAsia" w:ascii="宋体" w:hAnsi="宋体"/>
          <w:b/>
          <w:sz w:val="36"/>
          <w:szCs w:val="36"/>
        </w:rPr>
      </w:pPr>
      <w:bookmarkStart w:id="0" w:name="_GoBack"/>
      <w:bookmarkEnd w:id="0"/>
      <w:r>
        <w:rPr>
          <w:rFonts w:ascii="宋体" w:hAnsi="宋体"/>
          <w:b/>
          <w:sz w:val="36"/>
          <w:szCs w:val="36"/>
        </w:rPr>
        <w:tab/>
      </w:r>
      <w:r>
        <w:rPr>
          <w:rFonts w:hint="eastAsia" w:ascii="宋体" w:hAnsi="宋体"/>
          <w:b/>
          <w:sz w:val="36"/>
          <w:szCs w:val="36"/>
        </w:rPr>
        <w:t>租 赁 合 同</w:t>
      </w:r>
      <w:r>
        <w:rPr>
          <w:rFonts w:ascii="宋体" w:hAnsi="宋体"/>
          <w:b/>
          <w:sz w:val="36"/>
          <w:szCs w:val="36"/>
        </w:rPr>
        <w:tab/>
      </w:r>
    </w:p>
    <w:p w14:paraId="06EDC6DE">
      <w:pPr>
        <w:spacing w:line="360" w:lineRule="auto"/>
        <w:ind w:right="-69"/>
        <w:jc w:val="center"/>
        <w:rPr>
          <w:rFonts w:hint="eastAsia" w:ascii="宋体" w:hAnsi="宋体"/>
          <w:b/>
          <w:bCs/>
          <w:sz w:val="28"/>
          <w:szCs w:val="28"/>
        </w:rPr>
      </w:pPr>
      <w:r>
        <w:rPr>
          <w:rFonts w:hint="eastAsia" w:ascii="宋体" w:hAnsi="宋体"/>
          <w:b/>
          <w:bCs/>
          <w:sz w:val="28"/>
          <w:szCs w:val="28"/>
        </w:rPr>
        <w:t>编号：租（20</w:t>
      </w:r>
      <w:r>
        <w:rPr>
          <w:rFonts w:hint="eastAsia" w:ascii="宋体" w:hAnsi="宋体"/>
          <w:b/>
          <w:bCs/>
          <w:sz w:val="28"/>
          <w:szCs w:val="28"/>
          <w:lang w:val="en-US" w:eastAsia="zh-CN"/>
        </w:rPr>
        <w:t>26</w:t>
      </w:r>
      <w:r>
        <w:rPr>
          <w:rFonts w:hint="eastAsia" w:ascii="宋体" w:hAnsi="宋体"/>
          <w:b/>
          <w:bCs/>
          <w:sz w:val="28"/>
          <w:szCs w:val="28"/>
        </w:rPr>
        <w:t>）xx号</w:t>
      </w:r>
    </w:p>
    <w:p w14:paraId="35E84D36">
      <w:pPr>
        <w:spacing w:line="360" w:lineRule="auto"/>
        <w:ind w:firstLine="560"/>
        <w:jc w:val="left"/>
        <w:rPr>
          <w:rFonts w:hint="eastAsia" w:ascii="宋体" w:hAnsi="宋体"/>
          <w:spacing w:val="-20"/>
          <w:sz w:val="28"/>
          <w:szCs w:val="28"/>
        </w:rPr>
      </w:pPr>
      <w:r>
        <w:rPr>
          <w:rFonts w:hint="eastAsia" w:ascii="宋体" w:hAnsi="宋体"/>
          <w:sz w:val="28"/>
          <w:szCs w:val="28"/>
        </w:rPr>
        <w:t>甲方：广州市天河投资</w:t>
      </w:r>
      <w:r>
        <w:rPr>
          <w:rFonts w:hint="eastAsia" w:ascii="宋体" w:hAnsi="宋体"/>
          <w:sz w:val="28"/>
          <w:szCs w:val="28"/>
          <w:lang w:val="en-US" w:eastAsia="zh-CN"/>
        </w:rPr>
        <w:t>集团</w:t>
      </w:r>
      <w:r>
        <w:rPr>
          <w:rFonts w:hint="eastAsia" w:ascii="宋体" w:hAnsi="宋体"/>
          <w:sz w:val="28"/>
          <w:szCs w:val="28"/>
        </w:rPr>
        <w:t>有限公司</w:t>
      </w:r>
    </w:p>
    <w:p w14:paraId="01F9147B">
      <w:pPr>
        <w:spacing w:line="360" w:lineRule="auto"/>
        <w:ind w:firstLine="560"/>
        <w:jc w:val="left"/>
        <w:rPr>
          <w:rFonts w:hint="eastAsia" w:ascii="宋体" w:hAnsi="宋体"/>
          <w:sz w:val="28"/>
          <w:szCs w:val="28"/>
        </w:rPr>
      </w:pPr>
      <w:r>
        <w:rPr>
          <w:rFonts w:hint="eastAsia" w:ascii="宋体" w:hAnsi="宋体"/>
          <w:sz w:val="28"/>
          <w:szCs w:val="28"/>
        </w:rPr>
        <w:t>乙方：</w:t>
      </w:r>
    </w:p>
    <w:p w14:paraId="185D5BFC">
      <w:pPr>
        <w:spacing w:line="360" w:lineRule="auto"/>
        <w:ind w:firstLine="560"/>
        <w:jc w:val="left"/>
        <w:rPr>
          <w:rFonts w:hint="eastAsia" w:ascii="宋体" w:hAnsi="宋体"/>
          <w:sz w:val="28"/>
          <w:szCs w:val="28"/>
        </w:rPr>
      </w:pPr>
      <w:r>
        <w:rPr>
          <w:rFonts w:hint="eastAsia" w:ascii="宋体" w:hAnsi="宋体"/>
          <w:sz w:val="28"/>
          <w:szCs w:val="28"/>
        </w:rPr>
        <w:t>根据国家有关法律、法规，就乙方租用甲方物业事宜，甲乙双方经协商一致，订立本合同（以下简称合同），以共同遵守。</w:t>
      </w:r>
    </w:p>
    <w:p w14:paraId="25C4EA1B">
      <w:pPr>
        <w:spacing w:line="360" w:lineRule="auto"/>
        <w:ind w:firstLine="544"/>
        <w:jc w:val="left"/>
        <w:rPr>
          <w:rFonts w:hint="eastAsia" w:ascii="宋体" w:hAnsi="宋体"/>
          <w:spacing w:val="-4"/>
          <w:sz w:val="28"/>
          <w:szCs w:val="28"/>
        </w:rPr>
      </w:pPr>
      <w:r>
        <w:rPr>
          <w:rFonts w:hint="eastAsia" w:ascii="宋体" w:hAnsi="宋体"/>
          <w:spacing w:val="-4"/>
          <w:sz w:val="28"/>
          <w:szCs w:val="28"/>
        </w:rPr>
        <w:t>一、租赁标的</w:t>
      </w:r>
    </w:p>
    <w:p w14:paraId="1B1174CD">
      <w:pPr>
        <w:spacing w:line="360" w:lineRule="auto"/>
        <w:ind w:right="25" w:firstLine="544"/>
        <w:jc w:val="left"/>
        <w:rPr>
          <w:rFonts w:hint="eastAsia" w:ascii="宋体" w:hAnsi="宋体"/>
          <w:spacing w:val="-4"/>
          <w:sz w:val="28"/>
          <w:szCs w:val="28"/>
        </w:rPr>
      </w:pPr>
      <w:r>
        <w:rPr>
          <w:rFonts w:hint="eastAsia" w:ascii="宋体" w:hAnsi="宋体"/>
          <w:spacing w:val="-4"/>
          <w:sz w:val="28"/>
          <w:szCs w:val="28"/>
        </w:rPr>
        <w:t>甲方同意将位于</w:t>
      </w:r>
      <w:r>
        <w:rPr>
          <w:rFonts w:hint="eastAsia" w:ascii="宋体" w:hAnsi="宋体"/>
          <w:sz w:val="28"/>
          <w:szCs w:val="28"/>
          <w:u w:val="single"/>
        </w:rPr>
        <w:t>广州市天河区</w:t>
      </w:r>
      <w:r>
        <w:rPr>
          <w:rFonts w:hint="eastAsia" w:ascii="宋体" w:hAnsi="宋体"/>
          <w:sz w:val="28"/>
          <w:szCs w:val="28"/>
          <w:u w:val="single"/>
          <w:lang w:val="en-US" w:eastAsia="zh-CN"/>
        </w:rPr>
        <w:t xml:space="preserve">                    </w:t>
      </w:r>
      <w:r>
        <w:rPr>
          <w:rFonts w:hint="eastAsia" w:ascii="宋体" w:hAnsi="宋体"/>
          <w:sz w:val="28"/>
          <w:szCs w:val="28"/>
        </w:rPr>
        <w:t>的房地产以现状出租给乙方作</w:t>
      </w:r>
      <w:r>
        <w:rPr>
          <w:rFonts w:hint="eastAsia" w:ascii="宋体" w:hAnsi="宋体"/>
          <w:sz w:val="28"/>
          <w:szCs w:val="28"/>
          <w:u w:val="single"/>
          <w:lang w:val="en-US" w:eastAsia="zh-CN"/>
        </w:rPr>
        <w:t xml:space="preserve">    </w:t>
      </w:r>
      <w:r>
        <w:rPr>
          <w:rFonts w:hint="eastAsia" w:ascii="宋体" w:hAnsi="宋体"/>
          <w:sz w:val="28"/>
          <w:szCs w:val="28"/>
        </w:rPr>
        <w:t>使用,物业面积</w:t>
      </w:r>
      <w:r>
        <w:rPr>
          <w:rFonts w:hint="eastAsia" w:ascii="宋体" w:hAnsi="宋体"/>
          <w:spacing w:val="-4"/>
          <w:sz w:val="28"/>
          <w:szCs w:val="28"/>
          <w:u w:val="single"/>
          <w:lang w:val="en-US" w:eastAsia="zh-CN"/>
        </w:rPr>
        <w:t>302.3991</w:t>
      </w:r>
      <w:r>
        <w:rPr>
          <w:rFonts w:hint="eastAsia" w:ascii="宋体" w:hAnsi="宋体"/>
          <w:spacing w:val="-4"/>
          <w:sz w:val="28"/>
          <w:szCs w:val="28"/>
        </w:rPr>
        <w:t>平方米，另有以下物业配套设施、设备(详见： /  )。</w:t>
      </w:r>
    </w:p>
    <w:p w14:paraId="21318C20">
      <w:pPr>
        <w:spacing w:line="360" w:lineRule="auto"/>
        <w:ind w:firstLine="544"/>
        <w:jc w:val="left"/>
        <w:rPr>
          <w:rFonts w:hint="eastAsia" w:ascii="宋体" w:hAnsi="宋体"/>
          <w:spacing w:val="-4"/>
          <w:sz w:val="28"/>
          <w:szCs w:val="28"/>
        </w:rPr>
      </w:pPr>
      <w:r>
        <w:rPr>
          <w:rFonts w:hint="eastAsia" w:ascii="宋体" w:hAnsi="宋体"/>
          <w:spacing w:val="-4"/>
          <w:sz w:val="28"/>
          <w:szCs w:val="28"/>
        </w:rPr>
        <w:t>以上租赁标的统称物业。</w:t>
      </w:r>
    </w:p>
    <w:p w14:paraId="7534CB1E">
      <w:pPr>
        <w:spacing w:line="360" w:lineRule="auto"/>
        <w:ind w:firstLine="533"/>
        <w:jc w:val="left"/>
        <w:rPr>
          <w:rFonts w:hint="eastAsia" w:ascii="宋体" w:hAnsi="宋体"/>
          <w:spacing w:val="-4"/>
          <w:sz w:val="28"/>
          <w:szCs w:val="28"/>
        </w:rPr>
      </w:pPr>
      <w:r>
        <w:rPr>
          <w:rFonts w:hint="eastAsia" w:ascii="宋体" w:hAnsi="宋体"/>
          <w:spacing w:val="-4"/>
          <w:sz w:val="28"/>
          <w:szCs w:val="28"/>
        </w:rPr>
        <w:t>二、租赁期限</w:t>
      </w:r>
    </w:p>
    <w:p w14:paraId="141A719A">
      <w:pPr>
        <w:spacing w:line="360" w:lineRule="auto"/>
        <w:ind w:firstLine="544"/>
        <w:jc w:val="left"/>
        <w:rPr>
          <w:rFonts w:hint="eastAsia" w:ascii="宋体" w:hAnsi="宋体"/>
          <w:spacing w:val="-4"/>
          <w:sz w:val="28"/>
          <w:szCs w:val="28"/>
        </w:rPr>
      </w:pPr>
      <w:r>
        <w:rPr>
          <w:rFonts w:hint="eastAsia" w:ascii="宋体" w:hAnsi="宋体"/>
          <w:spacing w:val="-4"/>
          <w:sz w:val="28"/>
          <w:szCs w:val="28"/>
        </w:rPr>
        <w:t>自</w:t>
      </w:r>
      <w:r>
        <w:rPr>
          <w:rFonts w:hint="eastAsia" w:ascii="宋体" w:hAnsi="宋体"/>
          <w:spacing w:val="-4"/>
          <w:sz w:val="28"/>
          <w:szCs w:val="28"/>
          <w:u w:val="single"/>
          <w:lang w:val="en-US" w:eastAsia="zh-CN"/>
        </w:rPr>
        <w:t>XXXX</w:t>
      </w:r>
      <w:r>
        <w:rPr>
          <w:rFonts w:hint="eastAsia" w:ascii="宋体" w:hAnsi="宋体"/>
          <w:spacing w:val="-4"/>
          <w:sz w:val="28"/>
          <w:szCs w:val="28"/>
        </w:rPr>
        <w:t>年</w:t>
      </w:r>
      <w:r>
        <w:rPr>
          <w:rFonts w:hint="eastAsia" w:ascii="宋体" w:hAnsi="宋体"/>
          <w:spacing w:val="-4"/>
          <w:sz w:val="28"/>
          <w:szCs w:val="28"/>
          <w:u w:val="single"/>
        </w:rPr>
        <w:t>x</w:t>
      </w:r>
      <w:r>
        <w:rPr>
          <w:rFonts w:hint="eastAsia" w:ascii="宋体" w:hAnsi="宋体"/>
          <w:spacing w:val="-4"/>
          <w:sz w:val="28"/>
          <w:szCs w:val="28"/>
        </w:rPr>
        <w:t>月</w:t>
      </w:r>
      <w:r>
        <w:rPr>
          <w:rFonts w:hint="eastAsia" w:ascii="宋体" w:hAnsi="宋体"/>
          <w:spacing w:val="-4"/>
          <w:sz w:val="28"/>
          <w:szCs w:val="28"/>
          <w:u w:val="single"/>
        </w:rPr>
        <w:t>x</w:t>
      </w:r>
      <w:r>
        <w:rPr>
          <w:rFonts w:hint="eastAsia" w:ascii="宋体" w:hAnsi="宋体"/>
          <w:spacing w:val="-4"/>
          <w:sz w:val="28"/>
          <w:szCs w:val="28"/>
        </w:rPr>
        <w:t>日起至</w:t>
      </w:r>
      <w:r>
        <w:rPr>
          <w:rFonts w:hint="eastAsia" w:ascii="宋体" w:hAnsi="宋体"/>
          <w:spacing w:val="-4"/>
          <w:sz w:val="28"/>
          <w:szCs w:val="28"/>
          <w:u w:val="single"/>
        </w:rPr>
        <w:t>XXXX</w:t>
      </w:r>
      <w:r>
        <w:rPr>
          <w:rFonts w:hint="eastAsia" w:ascii="宋体" w:hAnsi="宋体"/>
          <w:spacing w:val="-4"/>
          <w:sz w:val="28"/>
          <w:szCs w:val="28"/>
        </w:rPr>
        <w:t>年</w:t>
      </w:r>
      <w:r>
        <w:rPr>
          <w:rFonts w:hint="eastAsia" w:ascii="宋体" w:hAnsi="宋体"/>
          <w:spacing w:val="-4"/>
          <w:sz w:val="28"/>
          <w:szCs w:val="28"/>
          <w:u w:val="single"/>
        </w:rPr>
        <w:t>x</w:t>
      </w:r>
      <w:r>
        <w:rPr>
          <w:rFonts w:hint="eastAsia" w:ascii="宋体" w:hAnsi="宋体"/>
          <w:spacing w:val="-4"/>
          <w:sz w:val="28"/>
          <w:szCs w:val="28"/>
        </w:rPr>
        <w:t>月</w:t>
      </w:r>
      <w:r>
        <w:rPr>
          <w:rFonts w:hint="eastAsia" w:ascii="宋体" w:hAnsi="宋体"/>
          <w:spacing w:val="-4"/>
          <w:sz w:val="28"/>
          <w:szCs w:val="28"/>
          <w:u w:val="single"/>
        </w:rPr>
        <w:t>x</w:t>
      </w:r>
      <w:r>
        <w:rPr>
          <w:rFonts w:hint="eastAsia" w:ascii="宋体" w:hAnsi="宋体"/>
          <w:spacing w:val="-4"/>
          <w:sz w:val="28"/>
          <w:szCs w:val="28"/>
        </w:rPr>
        <w:t>日止,租期共计</w:t>
      </w:r>
      <w:r>
        <w:rPr>
          <w:rFonts w:ascii="宋体" w:hAnsi="宋体"/>
          <w:spacing w:val="-4"/>
          <w:sz w:val="28"/>
          <w:szCs w:val="28"/>
          <w:u w:val="single"/>
        </w:rPr>
        <w:t>X</w:t>
      </w:r>
      <w:r>
        <w:rPr>
          <w:rFonts w:hint="eastAsia" w:ascii="宋体" w:hAnsi="宋体"/>
          <w:spacing w:val="-4"/>
          <w:sz w:val="28"/>
          <w:szCs w:val="28"/>
        </w:rPr>
        <w:t>年。</w:t>
      </w:r>
      <w:r>
        <w:rPr>
          <w:rFonts w:hint="eastAsia" w:ascii="宋体" w:hAnsi="宋体"/>
          <w:spacing w:val="-4"/>
          <w:sz w:val="28"/>
          <w:szCs w:val="28"/>
          <w:lang w:val="en-US" w:eastAsia="zh-CN"/>
        </w:rPr>
        <w:t xml:space="preserve">免租期为 </w:t>
      </w:r>
      <w:r>
        <w:rPr>
          <w:rFonts w:hint="eastAsia" w:ascii="宋体" w:hAnsi="宋体"/>
          <w:spacing w:val="-4"/>
          <w:sz w:val="28"/>
          <w:szCs w:val="28"/>
          <w:u w:val="single"/>
          <w:lang w:val="en-US" w:eastAsia="zh-CN"/>
        </w:rPr>
        <w:t xml:space="preserve">X </w:t>
      </w:r>
      <w:r>
        <w:rPr>
          <w:rFonts w:hint="eastAsia" w:ascii="宋体" w:hAnsi="宋体"/>
          <w:spacing w:val="-4"/>
          <w:sz w:val="28"/>
          <w:szCs w:val="28"/>
          <w:lang w:val="en-US" w:eastAsia="zh-CN"/>
        </w:rPr>
        <w:t>天。</w:t>
      </w:r>
      <w:r>
        <w:rPr>
          <w:rFonts w:hint="eastAsia" w:ascii="宋体" w:hAnsi="宋体"/>
          <w:spacing w:val="-4"/>
          <w:sz w:val="28"/>
          <w:szCs w:val="28"/>
        </w:rPr>
        <w:t>小区物业管理费、水电费、卫生费的缴交期限从</w:t>
      </w:r>
      <w:r>
        <w:rPr>
          <w:rFonts w:hint="eastAsia" w:ascii="宋体" w:hAnsi="宋体"/>
          <w:spacing w:val="-4"/>
          <w:sz w:val="28"/>
          <w:szCs w:val="28"/>
          <w:u w:val="single"/>
          <w:lang w:val="en-US" w:eastAsia="zh-CN"/>
        </w:rPr>
        <w:t>XXXX</w:t>
      </w:r>
      <w:r>
        <w:rPr>
          <w:rFonts w:hint="eastAsia" w:ascii="宋体" w:hAnsi="宋体"/>
          <w:spacing w:val="-4"/>
          <w:sz w:val="28"/>
          <w:szCs w:val="28"/>
        </w:rPr>
        <w:t>年</w:t>
      </w:r>
      <w:r>
        <w:rPr>
          <w:rFonts w:hint="eastAsia" w:ascii="宋体" w:hAnsi="宋体"/>
          <w:spacing w:val="-4"/>
          <w:sz w:val="28"/>
          <w:szCs w:val="28"/>
          <w:u w:val="single"/>
        </w:rPr>
        <w:t>x</w:t>
      </w:r>
      <w:r>
        <w:rPr>
          <w:rFonts w:hint="eastAsia" w:ascii="宋体" w:hAnsi="宋体"/>
          <w:spacing w:val="-4"/>
          <w:sz w:val="28"/>
          <w:szCs w:val="28"/>
        </w:rPr>
        <w:t>月</w:t>
      </w:r>
      <w:r>
        <w:rPr>
          <w:rFonts w:hint="eastAsia" w:ascii="宋体" w:hAnsi="宋体"/>
          <w:spacing w:val="-4"/>
          <w:sz w:val="28"/>
          <w:szCs w:val="28"/>
          <w:u w:val="single"/>
        </w:rPr>
        <w:t>x</w:t>
      </w:r>
      <w:r>
        <w:rPr>
          <w:rFonts w:hint="eastAsia" w:ascii="宋体" w:hAnsi="宋体"/>
          <w:spacing w:val="-4"/>
          <w:sz w:val="28"/>
          <w:szCs w:val="28"/>
        </w:rPr>
        <w:t>日起缴交。</w:t>
      </w:r>
    </w:p>
    <w:p w14:paraId="15E7814B">
      <w:pPr>
        <w:spacing w:line="360" w:lineRule="auto"/>
        <w:ind w:firstLine="544"/>
        <w:jc w:val="left"/>
        <w:rPr>
          <w:rFonts w:hint="eastAsia" w:ascii="宋体" w:hAnsi="宋体"/>
          <w:spacing w:val="-4"/>
          <w:sz w:val="28"/>
          <w:szCs w:val="28"/>
        </w:rPr>
      </w:pPr>
      <w:r>
        <w:rPr>
          <w:rFonts w:hint="eastAsia" w:ascii="宋体" w:hAnsi="宋体"/>
          <w:spacing w:val="-4"/>
          <w:sz w:val="28"/>
          <w:szCs w:val="28"/>
        </w:rPr>
        <w:t>三、租金标准</w:t>
      </w:r>
    </w:p>
    <w:p w14:paraId="6E9637AE">
      <w:pPr>
        <w:spacing w:line="360" w:lineRule="auto"/>
        <w:ind w:left="6948" w:hanging="6528"/>
        <w:jc w:val="left"/>
        <w:rPr>
          <w:rFonts w:hint="eastAsia" w:ascii="宋体" w:hAnsi="宋体"/>
          <w:sz w:val="28"/>
          <w:szCs w:val="28"/>
        </w:rPr>
      </w:pPr>
      <w:r>
        <w:rPr>
          <w:rFonts w:hint="eastAsia" w:ascii="宋体" w:hAnsi="宋体"/>
          <w:iCs/>
          <w:spacing w:val="-4"/>
          <w:sz w:val="28"/>
          <w:szCs w:val="28"/>
          <w:u w:val="single"/>
        </w:rPr>
        <w:t>xx</w:t>
      </w:r>
      <w:r>
        <w:rPr>
          <w:rFonts w:hint="eastAsia" w:ascii="宋体" w:hAnsi="宋体"/>
          <w:iCs/>
          <w:spacing w:val="-4"/>
          <w:sz w:val="28"/>
          <w:szCs w:val="28"/>
        </w:rPr>
        <w:t>元/月/平方米</w:t>
      </w:r>
      <w:r>
        <w:rPr>
          <w:rFonts w:hint="eastAsia" w:ascii="宋体" w:hAnsi="宋体"/>
          <w:spacing w:val="-4"/>
          <w:sz w:val="28"/>
          <w:szCs w:val="28"/>
        </w:rPr>
        <w:t>，每</w:t>
      </w:r>
      <w:r>
        <w:rPr>
          <w:rFonts w:ascii="宋体" w:hAnsi="宋体"/>
          <w:spacing w:val="-4"/>
          <w:sz w:val="28"/>
          <w:szCs w:val="28"/>
          <w:u w:val="single"/>
        </w:rPr>
        <w:t>1</w:t>
      </w:r>
      <w:r>
        <w:rPr>
          <w:rFonts w:hint="eastAsia" w:ascii="宋体" w:hAnsi="宋体"/>
          <w:spacing w:val="-4"/>
          <w:sz w:val="28"/>
          <w:szCs w:val="28"/>
        </w:rPr>
        <w:t>年递增</w:t>
      </w:r>
      <w:r>
        <w:rPr>
          <w:rFonts w:ascii="宋体" w:hAnsi="宋体"/>
          <w:spacing w:val="-4"/>
          <w:sz w:val="28"/>
          <w:szCs w:val="28"/>
          <w:u w:val="single"/>
        </w:rPr>
        <w:t>2</w:t>
      </w:r>
      <w:r>
        <w:rPr>
          <w:rFonts w:hint="eastAsia" w:ascii="宋体" w:hAnsi="宋体"/>
          <w:spacing w:val="-4"/>
          <w:sz w:val="28"/>
          <w:szCs w:val="28"/>
        </w:rPr>
        <w:t xml:space="preserve">%，合同期内的租金情况详见下表：    </w:t>
      </w:r>
      <w:r>
        <w:rPr>
          <w:rFonts w:hint="eastAsia" w:ascii="宋体" w:hAnsi="宋体"/>
          <w:spacing w:val="-8"/>
          <w:sz w:val="28"/>
          <w:szCs w:val="28"/>
        </w:rPr>
        <w:t xml:space="preserve">   </w:t>
      </w:r>
      <w:r>
        <w:rPr>
          <w:rFonts w:hint="eastAsia" w:ascii="宋体" w:hAnsi="宋体"/>
          <w:sz w:val="28"/>
          <w:szCs w:val="28"/>
        </w:rPr>
        <w:t xml:space="preserve">                                                       </w:t>
      </w:r>
      <w:r>
        <w:rPr>
          <w:rFonts w:hint="eastAsia" w:ascii="宋体" w:hAnsi="宋体"/>
          <w:sz w:val="24"/>
          <w:szCs w:val="24"/>
        </w:rPr>
        <w:t>货币单位：元</w:t>
      </w:r>
    </w:p>
    <w:tbl>
      <w:tblPr>
        <w:tblStyle w:val="19"/>
        <w:tblW w:w="9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2"/>
        <w:gridCol w:w="720"/>
        <w:gridCol w:w="1620"/>
        <w:gridCol w:w="1080"/>
        <w:gridCol w:w="900"/>
        <w:gridCol w:w="1281"/>
      </w:tblGrid>
      <w:tr w14:paraId="588F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3692" w:type="dxa"/>
            <w:noWrap w:val="0"/>
            <w:vAlign w:val="center"/>
          </w:tcPr>
          <w:p w14:paraId="75A8EA22">
            <w:pPr>
              <w:spacing w:line="360" w:lineRule="auto"/>
              <w:jc w:val="center"/>
              <w:rPr>
                <w:rFonts w:hint="eastAsia" w:ascii="宋体" w:hAnsi="宋体"/>
              </w:rPr>
            </w:pPr>
            <w:r>
              <w:rPr>
                <w:rFonts w:hint="eastAsia" w:ascii="宋体" w:hAnsi="宋体"/>
              </w:rPr>
              <w:t>租赁期间</w:t>
            </w:r>
          </w:p>
        </w:tc>
        <w:tc>
          <w:tcPr>
            <w:tcW w:w="720" w:type="dxa"/>
            <w:noWrap w:val="0"/>
            <w:vAlign w:val="center"/>
          </w:tcPr>
          <w:p w14:paraId="735A3C3D">
            <w:pPr>
              <w:spacing w:line="360" w:lineRule="auto"/>
              <w:jc w:val="center"/>
              <w:rPr>
                <w:rFonts w:hint="eastAsia" w:ascii="宋体" w:hAnsi="宋体"/>
              </w:rPr>
            </w:pPr>
            <w:r>
              <w:rPr>
                <w:rFonts w:hint="eastAsia" w:ascii="宋体" w:hAnsi="宋体"/>
              </w:rPr>
              <w:t>递增率%</w:t>
            </w:r>
          </w:p>
        </w:tc>
        <w:tc>
          <w:tcPr>
            <w:tcW w:w="1620" w:type="dxa"/>
            <w:noWrap w:val="0"/>
            <w:vAlign w:val="top"/>
          </w:tcPr>
          <w:p w14:paraId="66B57110">
            <w:pPr>
              <w:spacing w:line="360" w:lineRule="auto"/>
              <w:ind w:firstLine="105"/>
              <w:rPr>
                <w:rFonts w:hint="eastAsia" w:ascii="宋体" w:hAnsi="宋体"/>
              </w:rPr>
            </w:pPr>
            <w:r>
              <w:rPr>
                <w:rFonts w:hint="eastAsia" w:ascii="宋体" w:hAnsi="宋体"/>
              </w:rPr>
              <w:t>租 金 标 准</w:t>
            </w:r>
            <w:r>
              <w:rPr>
                <w:rFonts w:ascii="宋体" w:hAnsi="宋体"/>
              </w:rPr>
              <w:t xml:space="preserve"> </w:t>
            </w:r>
            <w:r>
              <w:rPr>
                <w:rFonts w:hint="eastAsia" w:ascii="宋体" w:hAnsi="宋体"/>
              </w:rPr>
              <w:t xml:space="preserve">    </w:t>
            </w:r>
          </w:p>
          <w:p w14:paraId="7391F746">
            <w:pPr>
              <w:spacing w:line="360" w:lineRule="auto"/>
              <w:ind w:firstLine="170"/>
              <w:rPr>
                <w:rFonts w:hint="eastAsia" w:ascii="宋体" w:hAnsi="宋体"/>
                <w:spacing w:val="-20"/>
              </w:rPr>
            </w:pPr>
            <w:r>
              <w:rPr>
                <w:rFonts w:hint="eastAsia" w:ascii="宋体" w:hAnsi="宋体"/>
                <w:spacing w:val="-20"/>
              </w:rPr>
              <w:t>（元/月/㎡</w:t>
            </w:r>
            <w:r>
              <w:rPr>
                <w:rFonts w:ascii="宋体" w:hAnsi="宋体"/>
                <w:spacing w:val="-20"/>
              </w:rPr>
              <w:t>）</w:t>
            </w:r>
          </w:p>
        </w:tc>
        <w:tc>
          <w:tcPr>
            <w:tcW w:w="1080" w:type="dxa"/>
            <w:noWrap w:val="0"/>
            <w:vAlign w:val="center"/>
          </w:tcPr>
          <w:p w14:paraId="2E4B1A93">
            <w:pPr>
              <w:spacing w:line="360" w:lineRule="auto"/>
              <w:jc w:val="center"/>
              <w:rPr>
                <w:rFonts w:hint="eastAsia" w:ascii="宋体" w:hAnsi="宋体"/>
              </w:rPr>
            </w:pPr>
            <w:r>
              <w:rPr>
                <w:rFonts w:hint="eastAsia" w:ascii="宋体" w:hAnsi="宋体"/>
              </w:rPr>
              <w:t>月租金额</w:t>
            </w:r>
          </w:p>
        </w:tc>
        <w:tc>
          <w:tcPr>
            <w:tcW w:w="900" w:type="dxa"/>
            <w:noWrap w:val="0"/>
            <w:vAlign w:val="center"/>
          </w:tcPr>
          <w:p w14:paraId="0DC83069">
            <w:pPr>
              <w:spacing w:line="360" w:lineRule="auto"/>
              <w:jc w:val="center"/>
              <w:rPr>
                <w:rFonts w:hint="eastAsia" w:ascii="宋体" w:hAnsi="宋体"/>
              </w:rPr>
            </w:pPr>
            <w:r>
              <w:rPr>
                <w:rFonts w:hint="eastAsia" w:ascii="宋体" w:hAnsi="宋体"/>
              </w:rPr>
              <w:t>期间累计月份</w:t>
            </w:r>
          </w:p>
        </w:tc>
        <w:tc>
          <w:tcPr>
            <w:tcW w:w="1281" w:type="dxa"/>
            <w:noWrap w:val="0"/>
            <w:vAlign w:val="center"/>
          </w:tcPr>
          <w:p w14:paraId="7AB97360">
            <w:pPr>
              <w:spacing w:line="360" w:lineRule="auto"/>
              <w:jc w:val="center"/>
              <w:rPr>
                <w:rFonts w:hint="eastAsia" w:ascii="宋体" w:hAnsi="宋体"/>
              </w:rPr>
            </w:pPr>
            <w:r>
              <w:rPr>
                <w:rFonts w:hint="eastAsia" w:ascii="宋体" w:hAnsi="宋体"/>
              </w:rPr>
              <w:t>期间租金额</w:t>
            </w:r>
          </w:p>
        </w:tc>
      </w:tr>
      <w:tr w14:paraId="2524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3692" w:type="dxa"/>
            <w:noWrap w:val="0"/>
            <w:vAlign w:val="center"/>
          </w:tcPr>
          <w:p w14:paraId="6059A873">
            <w:pPr>
              <w:spacing w:line="360" w:lineRule="auto"/>
              <w:rPr>
                <w:rFonts w:hint="eastAsia" w:ascii="宋体" w:hAnsi="宋体"/>
              </w:rPr>
            </w:pPr>
            <w:r>
              <w:rPr>
                <w:rFonts w:hint="eastAsia" w:ascii="宋体" w:hAnsi="宋体"/>
                <w:spacing w:val="-4"/>
                <w:lang w:val="en-US" w:eastAsia="zh-CN"/>
              </w:rPr>
              <w:t>xxxx</w:t>
            </w:r>
            <w:r>
              <w:rPr>
                <w:rFonts w:hint="eastAsia" w:ascii="宋体" w:hAnsi="宋体"/>
                <w:spacing w:val="-4"/>
              </w:rPr>
              <w:t>年x月x日起至</w:t>
            </w:r>
            <w:r>
              <w:rPr>
                <w:rFonts w:hint="eastAsia" w:ascii="宋体" w:hAnsi="宋体"/>
                <w:spacing w:val="-4"/>
                <w:lang w:val="en-US" w:eastAsia="zh-CN"/>
              </w:rPr>
              <w:t>xxxx</w:t>
            </w:r>
            <w:r>
              <w:rPr>
                <w:rFonts w:hint="eastAsia" w:ascii="宋体" w:hAnsi="宋体"/>
                <w:spacing w:val="-4"/>
              </w:rPr>
              <w:t>年x月x日</w:t>
            </w:r>
          </w:p>
        </w:tc>
        <w:tc>
          <w:tcPr>
            <w:tcW w:w="720" w:type="dxa"/>
            <w:noWrap w:val="0"/>
            <w:vAlign w:val="center"/>
          </w:tcPr>
          <w:p w14:paraId="629E57EA">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0</w:t>
            </w:r>
          </w:p>
        </w:tc>
        <w:tc>
          <w:tcPr>
            <w:tcW w:w="1620" w:type="dxa"/>
            <w:noWrap w:val="0"/>
            <w:vAlign w:val="center"/>
          </w:tcPr>
          <w:p w14:paraId="55C6FF3B">
            <w:pPr>
              <w:tabs>
                <w:tab w:val="left" w:pos="567"/>
                <w:tab w:val="center" w:pos="1096"/>
              </w:tabs>
              <w:spacing w:line="360" w:lineRule="auto"/>
              <w:jc w:val="center"/>
              <w:rPr>
                <w:rFonts w:ascii="宋体" w:hAnsi="宋体"/>
                <w:sz w:val="24"/>
                <w:szCs w:val="24"/>
              </w:rPr>
            </w:pPr>
            <w:r>
              <w:rPr>
                <w:rFonts w:hint="eastAsia" w:ascii="宋体" w:hAnsi="宋体"/>
                <w:sz w:val="24"/>
                <w:szCs w:val="24"/>
              </w:rPr>
              <w:t>xx</w:t>
            </w:r>
          </w:p>
        </w:tc>
        <w:tc>
          <w:tcPr>
            <w:tcW w:w="1080" w:type="dxa"/>
            <w:noWrap w:val="0"/>
            <w:vAlign w:val="center"/>
          </w:tcPr>
          <w:p w14:paraId="49A1E273">
            <w:pPr>
              <w:tabs>
                <w:tab w:val="left" w:pos="567"/>
                <w:tab w:val="center" w:pos="1096"/>
              </w:tabs>
              <w:spacing w:line="360" w:lineRule="auto"/>
              <w:jc w:val="center"/>
              <w:rPr>
                <w:rFonts w:ascii="宋体" w:hAnsi="宋体"/>
                <w:sz w:val="24"/>
                <w:szCs w:val="24"/>
              </w:rPr>
            </w:pPr>
            <w:r>
              <w:rPr>
                <w:rFonts w:hint="eastAsia" w:ascii="宋体" w:hAnsi="宋体"/>
                <w:sz w:val="24"/>
                <w:szCs w:val="24"/>
              </w:rPr>
              <w:t>xxx</w:t>
            </w:r>
          </w:p>
        </w:tc>
        <w:tc>
          <w:tcPr>
            <w:tcW w:w="900" w:type="dxa"/>
            <w:noWrap w:val="0"/>
            <w:vAlign w:val="center"/>
          </w:tcPr>
          <w:p w14:paraId="4C8D5F85">
            <w:pPr>
              <w:tabs>
                <w:tab w:val="left" w:pos="567"/>
                <w:tab w:val="center" w:pos="1096"/>
              </w:tabs>
              <w:spacing w:line="360" w:lineRule="auto"/>
              <w:jc w:val="center"/>
              <w:rPr>
                <w:rFonts w:hint="eastAsia" w:ascii="宋体" w:hAnsi="宋体"/>
                <w:sz w:val="24"/>
                <w:szCs w:val="24"/>
              </w:rPr>
            </w:pPr>
            <w:r>
              <w:rPr>
                <w:rFonts w:ascii="宋体" w:hAnsi="宋体"/>
                <w:sz w:val="24"/>
                <w:szCs w:val="24"/>
              </w:rPr>
              <w:t>12</w:t>
            </w:r>
          </w:p>
        </w:tc>
        <w:tc>
          <w:tcPr>
            <w:tcW w:w="1281" w:type="dxa"/>
            <w:noWrap w:val="0"/>
            <w:vAlign w:val="center"/>
          </w:tcPr>
          <w:p w14:paraId="2ED93264">
            <w:pPr>
              <w:tabs>
                <w:tab w:val="left" w:pos="567"/>
                <w:tab w:val="center" w:pos="1096"/>
              </w:tabs>
              <w:spacing w:line="360" w:lineRule="auto"/>
              <w:jc w:val="center"/>
              <w:rPr>
                <w:rFonts w:ascii="宋体" w:hAnsi="宋体"/>
                <w:sz w:val="24"/>
                <w:szCs w:val="24"/>
              </w:rPr>
            </w:pPr>
            <w:r>
              <w:rPr>
                <w:rFonts w:hint="eastAsia" w:ascii="宋体" w:hAnsi="宋体"/>
                <w:sz w:val="24"/>
                <w:szCs w:val="24"/>
              </w:rPr>
              <w:t>xxx</w:t>
            </w:r>
          </w:p>
        </w:tc>
      </w:tr>
      <w:tr w14:paraId="7080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3692" w:type="dxa"/>
            <w:noWrap w:val="0"/>
            <w:vAlign w:val="center"/>
          </w:tcPr>
          <w:p w14:paraId="12812B10">
            <w:pPr>
              <w:spacing w:line="360" w:lineRule="auto"/>
              <w:rPr>
                <w:rFonts w:hint="eastAsia" w:ascii="宋体" w:hAnsi="宋体"/>
              </w:rPr>
            </w:pPr>
            <w:r>
              <w:rPr>
                <w:rFonts w:hint="eastAsia" w:ascii="宋体" w:hAnsi="宋体"/>
                <w:spacing w:val="-4"/>
                <w:lang w:val="en-US" w:eastAsia="zh-CN"/>
              </w:rPr>
              <w:t>xxxx</w:t>
            </w:r>
            <w:r>
              <w:rPr>
                <w:rFonts w:hint="eastAsia" w:ascii="宋体" w:hAnsi="宋体"/>
                <w:spacing w:val="-4"/>
              </w:rPr>
              <w:t>年x月x日起至</w:t>
            </w:r>
            <w:r>
              <w:rPr>
                <w:rFonts w:hint="eastAsia" w:ascii="宋体" w:hAnsi="宋体"/>
                <w:spacing w:val="-4"/>
                <w:lang w:val="en-US" w:eastAsia="zh-CN"/>
              </w:rPr>
              <w:t>xxxx</w:t>
            </w:r>
            <w:r>
              <w:rPr>
                <w:rFonts w:hint="eastAsia" w:ascii="宋体" w:hAnsi="宋体"/>
                <w:spacing w:val="-4"/>
              </w:rPr>
              <w:t>年x月x日</w:t>
            </w:r>
          </w:p>
        </w:tc>
        <w:tc>
          <w:tcPr>
            <w:tcW w:w="720" w:type="dxa"/>
            <w:noWrap w:val="0"/>
            <w:vAlign w:val="center"/>
          </w:tcPr>
          <w:p w14:paraId="05C276FC">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2</w:t>
            </w:r>
          </w:p>
        </w:tc>
        <w:tc>
          <w:tcPr>
            <w:tcW w:w="1620" w:type="dxa"/>
            <w:noWrap w:val="0"/>
            <w:vAlign w:val="center"/>
          </w:tcPr>
          <w:p w14:paraId="1C5F53BB">
            <w:pPr>
              <w:tabs>
                <w:tab w:val="left" w:pos="567"/>
                <w:tab w:val="center" w:pos="1096"/>
              </w:tabs>
              <w:spacing w:line="360" w:lineRule="auto"/>
              <w:jc w:val="center"/>
              <w:rPr>
                <w:rFonts w:ascii="宋体" w:hAnsi="宋体"/>
                <w:sz w:val="24"/>
                <w:szCs w:val="24"/>
              </w:rPr>
            </w:pPr>
            <w:r>
              <w:rPr>
                <w:rFonts w:hint="eastAsia" w:ascii="宋体" w:hAnsi="宋体"/>
                <w:sz w:val="24"/>
                <w:szCs w:val="24"/>
              </w:rPr>
              <w:t>xx</w:t>
            </w:r>
          </w:p>
        </w:tc>
        <w:tc>
          <w:tcPr>
            <w:tcW w:w="1080" w:type="dxa"/>
            <w:noWrap w:val="0"/>
            <w:vAlign w:val="center"/>
          </w:tcPr>
          <w:p w14:paraId="774BED0C">
            <w:pPr>
              <w:tabs>
                <w:tab w:val="left" w:pos="567"/>
                <w:tab w:val="center" w:pos="1096"/>
              </w:tabs>
              <w:spacing w:line="360" w:lineRule="auto"/>
              <w:jc w:val="center"/>
              <w:rPr>
                <w:rFonts w:ascii="宋体" w:hAnsi="宋体"/>
                <w:sz w:val="24"/>
                <w:szCs w:val="24"/>
              </w:rPr>
            </w:pPr>
            <w:r>
              <w:rPr>
                <w:rFonts w:hint="eastAsia" w:ascii="宋体" w:hAnsi="宋体"/>
                <w:sz w:val="24"/>
                <w:szCs w:val="24"/>
              </w:rPr>
              <w:t>xxx</w:t>
            </w:r>
          </w:p>
        </w:tc>
        <w:tc>
          <w:tcPr>
            <w:tcW w:w="900" w:type="dxa"/>
            <w:noWrap w:val="0"/>
            <w:vAlign w:val="center"/>
          </w:tcPr>
          <w:p w14:paraId="1DA0EF80">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12</w:t>
            </w:r>
          </w:p>
        </w:tc>
        <w:tc>
          <w:tcPr>
            <w:tcW w:w="1281" w:type="dxa"/>
            <w:noWrap w:val="0"/>
            <w:vAlign w:val="center"/>
          </w:tcPr>
          <w:p w14:paraId="30C621B3">
            <w:pPr>
              <w:tabs>
                <w:tab w:val="left" w:pos="567"/>
                <w:tab w:val="center" w:pos="1096"/>
              </w:tabs>
              <w:spacing w:line="360" w:lineRule="auto"/>
              <w:jc w:val="center"/>
              <w:rPr>
                <w:rFonts w:ascii="宋体" w:hAnsi="宋体"/>
                <w:sz w:val="24"/>
                <w:szCs w:val="24"/>
              </w:rPr>
            </w:pPr>
            <w:r>
              <w:rPr>
                <w:rFonts w:hint="eastAsia" w:ascii="宋体" w:hAnsi="宋体"/>
                <w:sz w:val="24"/>
                <w:szCs w:val="24"/>
              </w:rPr>
              <w:t>xxx</w:t>
            </w:r>
          </w:p>
        </w:tc>
      </w:tr>
      <w:tr w14:paraId="25C1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3692" w:type="dxa"/>
            <w:noWrap w:val="0"/>
            <w:vAlign w:val="center"/>
          </w:tcPr>
          <w:p w14:paraId="41198D6A">
            <w:pPr>
              <w:spacing w:line="360" w:lineRule="auto"/>
              <w:rPr>
                <w:rFonts w:hint="eastAsia" w:ascii="宋体" w:hAnsi="宋体"/>
              </w:rPr>
            </w:pPr>
            <w:r>
              <w:rPr>
                <w:rFonts w:hint="eastAsia" w:ascii="宋体" w:hAnsi="宋体"/>
                <w:spacing w:val="-4"/>
                <w:lang w:val="en-US" w:eastAsia="zh-CN"/>
              </w:rPr>
              <w:t>xxxx</w:t>
            </w:r>
            <w:r>
              <w:rPr>
                <w:rFonts w:hint="eastAsia" w:ascii="宋体" w:hAnsi="宋体"/>
                <w:spacing w:val="-4"/>
              </w:rPr>
              <w:t>年x月x日起至</w:t>
            </w:r>
            <w:r>
              <w:rPr>
                <w:rFonts w:hint="eastAsia" w:ascii="宋体" w:hAnsi="宋体"/>
                <w:spacing w:val="-4"/>
                <w:lang w:val="en-US" w:eastAsia="zh-CN"/>
              </w:rPr>
              <w:t>xxxx</w:t>
            </w:r>
            <w:r>
              <w:rPr>
                <w:rFonts w:hint="eastAsia" w:ascii="宋体" w:hAnsi="宋体"/>
                <w:spacing w:val="-4"/>
              </w:rPr>
              <w:t>年x月x日</w:t>
            </w:r>
          </w:p>
        </w:tc>
        <w:tc>
          <w:tcPr>
            <w:tcW w:w="720" w:type="dxa"/>
            <w:noWrap w:val="0"/>
            <w:vAlign w:val="center"/>
          </w:tcPr>
          <w:p w14:paraId="52B6A7D8">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2</w:t>
            </w:r>
          </w:p>
        </w:tc>
        <w:tc>
          <w:tcPr>
            <w:tcW w:w="1620" w:type="dxa"/>
            <w:noWrap w:val="0"/>
            <w:vAlign w:val="center"/>
          </w:tcPr>
          <w:p w14:paraId="52FC6DDD">
            <w:pPr>
              <w:tabs>
                <w:tab w:val="left" w:pos="567"/>
                <w:tab w:val="center" w:pos="1096"/>
              </w:tabs>
              <w:spacing w:line="360" w:lineRule="auto"/>
              <w:jc w:val="center"/>
              <w:rPr>
                <w:rFonts w:ascii="宋体" w:hAnsi="宋体"/>
                <w:sz w:val="24"/>
                <w:szCs w:val="24"/>
              </w:rPr>
            </w:pPr>
            <w:r>
              <w:rPr>
                <w:rFonts w:hint="eastAsia" w:ascii="宋体" w:hAnsi="宋体"/>
                <w:sz w:val="24"/>
                <w:szCs w:val="24"/>
              </w:rPr>
              <w:t>xx</w:t>
            </w:r>
          </w:p>
        </w:tc>
        <w:tc>
          <w:tcPr>
            <w:tcW w:w="1080" w:type="dxa"/>
            <w:noWrap w:val="0"/>
            <w:vAlign w:val="center"/>
          </w:tcPr>
          <w:p w14:paraId="47DB8A19">
            <w:pPr>
              <w:tabs>
                <w:tab w:val="left" w:pos="567"/>
                <w:tab w:val="center" w:pos="1096"/>
              </w:tabs>
              <w:spacing w:line="360" w:lineRule="auto"/>
              <w:jc w:val="center"/>
              <w:rPr>
                <w:rFonts w:ascii="宋体" w:hAnsi="宋体"/>
                <w:sz w:val="24"/>
                <w:szCs w:val="24"/>
              </w:rPr>
            </w:pPr>
            <w:r>
              <w:rPr>
                <w:rFonts w:hint="eastAsia" w:ascii="宋体" w:hAnsi="宋体"/>
                <w:sz w:val="24"/>
                <w:szCs w:val="24"/>
              </w:rPr>
              <w:t>xxx</w:t>
            </w:r>
          </w:p>
        </w:tc>
        <w:tc>
          <w:tcPr>
            <w:tcW w:w="900" w:type="dxa"/>
            <w:noWrap w:val="0"/>
            <w:vAlign w:val="center"/>
          </w:tcPr>
          <w:p w14:paraId="7C8D4BF1">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12</w:t>
            </w:r>
          </w:p>
        </w:tc>
        <w:tc>
          <w:tcPr>
            <w:tcW w:w="1281" w:type="dxa"/>
            <w:noWrap w:val="0"/>
            <w:vAlign w:val="center"/>
          </w:tcPr>
          <w:p w14:paraId="4C5AEC44">
            <w:pPr>
              <w:tabs>
                <w:tab w:val="left" w:pos="567"/>
                <w:tab w:val="center" w:pos="1096"/>
              </w:tabs>
              <w:spacing w:line="360" w:lineRule="auto"/>
              <w:jc w:val="center"/>
              <w:rPr>
                <w:rFonts w:ascii="宋体" w:hAnsi="宋体"/>
                <w:sz w:val="24"/>
                <w:szCs w:val="24"/>
              </w:rPr>
            </w:pPr>
            <w:r>
              <w:rPr>
                <w:rFonts w:hint="eastAsia" w:ascii="宋体" w:hAnsi="宋体"/>
                <w:sz w:val="24"/>
                <w:szCs w:val="24"/>
              </w:rPr>
              <w:t>xxx</w:t>
            </w:r>
          </w:p>
        </w:tc>
      </w:tr>
      <w:tr w14:paraId="017A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3692" w:type="dxa"/>
            <w:noWrap w:val="0"/>
            <w:vAlign w:val="center"/>
          </w:tcPr>
          <w:p w14:paraId="447CA197">
            <w:pPr>
              <w:spacing w:line="360" w:lineRule="auto"/>
              <w:rPr>
                <w:rFonts w:hint="eastAsia" w:ascii="宋体" w:hAnsi="宋体"/>
                <w:spacing w:val="-4"/>
                <w:lang w:val="en-US" w:eastAsia="zh-CN"/>
              </w:rPr>
            </w:pPr>
            <w:r>
              <w:rPr>
                <w:rFonts w:hint="eastAsia" w:ascii="宋体" w:hAnsi="宋体"/>
                <w:spacing w:val="-4"/>
                <w:lang w:val="en-US" w:eastAsia="zh-CN"/>
              </w:rPr>
              <w:t>xxxx</w:t>
            </w:r>
            <w:r>
              <w:rPr>
                <w:rFonts w:hint="eastAsia" w:ascii="宋体" w:hAnsi="宋体"/>
                <w:spacing w:val="-4"/>
              </w:rPr>
              <w:t>年x月x日起至</w:t>
            </w:r>
            <w:r>
              <w:rPr>
                <w:rFonts w:hint="eastAsia" w:ascii="宋体" w:hAnsi="宋体"/>
                <w:spacing w:val="-4"/>
                <w:lang w:val="en-US" w:eastAsia="zh-CN"/>
              </w:rPr>
              <w:t>xxxx</w:t>
            </w:r>
            <w:r>
              <w:rPr>
                <w:rFonts w:hint="eastAsia" w:ascii="宋体" w:hAnsi="宋体"/>
                <w:spacing w:val="-4"/>
              </w:rPr>
              <w:t>年x月x日</w:t>
            </w:r>
          </w:p>
        </w:tc>
        <w:tc>
          <w:tcPr>
            <w:tcW w:w="720" w:type="dxa"/>
            <w:noWrap w:val="0"/>
            <w:vAlign w:val="center"/>
          </w:tcPr>
          <w:p w14:paraId="14DBCFA9">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2</w:t>
            </w:r>
          </w:p>
        </w:tc>
        <w:tc>
          <w:tcPr>
            <w:tcW w:w="1620" w:type="dxa"/>
            <w:noWrap w:val="0"/>
            <w:vAlign w:val="center"/>
          </w:tcPr>
          <w:p w14:paraId="0C97D0D8">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xx</w:t>
            </w:r>
          </w:p>
        </w:tc>
        <w:tc>
          <w:tcPr>
            <w:tcW w:w="1080" w:type="dxa"/>
            <w:noWrap w:val="0"/>
            <w:vAlign w:val="center"/>
          </w:tcPr>
          <w:p w14:paraId="05C1E7B3">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xxx</w:t>
            </w:r>
          </w:p>
        </w:tc>
        <w:tc>
          <w:tcPr>
            <w:tcW w:w="900" w:type="dxa"/>
            <w:noWrap w:val="0"/>
            <w:vAlign w:val="center"/>
          </w:tcPr>
          <w:p w14:paraId="456FB572">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12</w:t>
            </w:r>
          </w:p>
        </w:tc>
        <w:tc>
          <w:tcPr>
            <w:tcW w:w="1281" w:type="dxa"/>
            <w:noWrap w:val="0"/>
            <w:vAlign w:val="center"/>
          </w:tcPr>
          <w:p w14:paraId="0DB23444">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xxx</w:t>
            </w:r>
          </w:p>
        </w:tc>
      </w:tr>
      <w:tr w14:paraId="13EA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3692" w:type="dxa"/>
            <w:noWrap w:val="0"/>
            <w:vAlign w:val="center"/>
          </w:tcPr>
          <w:p w14:paraId="432BE7FD">
            <w:pPr>
              <w:spacing w:line="360" w:lineRule="auto"/>
              <w:rPr>
                <w:rFonts w:hint="eastAsia" w:ascii="宋体" w:hAnsi="宋体"/>
                <w:spacing w:val="-4"/>
                <w:lang w:val="en-US" w:eastAsia="zh-CN"/>
              </w:rPr>
            </w:pPr>
            <w:r>
              <w:rPr>
                <w:rFonts w:hint="eastAsia" w:ascii="宋体" w:hAnsi="宋体"/>
                <w:spacing w:val="-4"/>
                <w:lang w:val="en-US" w:eastAsia="zh-CN"/>
              </w:rPr>
              <w:t>xxxx</w:t>
            </w:r>
            <w:r>
              <w:rPr>
                <w:rFonts w:hint="eastAsia" w:ascii="宋体" w:hAnsi="宋体"/>
                <w:spacing w:val="-4"/>
              </w:rPr>
              <w:t>年x月x日起至</w:t>
            </w:r>
            <w:r>
              <w:rPr>
                <w:rFonts w:hint="eastAsia" w:ascii="宋体" w:hAnsi="宋体"/>
                <w:spacing w:val="-4"/>
                <w:lang w:val="en-US" w:eastAsia="zh-CN"/>
              </w:rPr>
              <w:t>xxxx</w:t>
            </w:r>
            <w:r>
              <w:rPr>
                <w:rFonts w:hint="eastAsia" w:ascii="宋体" w:hAnsi="宋体"/>
                <w:spacing w:val="-4"/>
              </w:rPr>
              <w:t>年x月x日</w:t>
            </w:r>
          </w:p>
        </w:tc>
        <w:tc>
          <w:tcPr>
            <w:tcW w:w="720" w:type="dxa"/>
            <w:noWrap w:val="0"/>
            <w:vAlign w:val="center"/>
          </w:tcPr>
          <w:p w14:paraId="651D30D6">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2</w:t>
            </w:r>
          </w:p>
        </w:tc>
        <w:tc>
          <w:tcPr>
            <w:tcW w:w="1620" w:type="dxa"/>
            <w:noWrap w:val="0"/>
            <w:vAlign w:val="center"/>
          </w:tcPr>
          <w:p w14:paraId="208F67E1">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xx</w:t>
            </w:r>
          </w:p>
        </w:tc>
        <w:tc>
          <w:tcPr>
            <w:tcW w:w="1080" w:type="dxa"/>
            <w:noWrap w:val="0"/>
            <w:vAlign w:val="center"/>
          </w:tcPr>
          <w:p w14:paraId="1EEB8979">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xxx</w:t>
            </w:r>
          </w:p>
        </w:tc>
        <w:tc>
          <w:tcPr>
            <w:tcW w:w="900" w:type="dxa"/>
            <w:noWrap w:val="0"/>
            <w:vAlign w:val="center"/>
          </w:tcPr>
          <w:p w14:paraId="472E8D99">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12</w:t>
            </w:r>
          </w:p>
        </w:tc>
        <w:tc>
          <w:tcPr>
            <w:tcW w:w="1281" w:type="dxa"/>
            <w:noWrap w:val="0"/>
            <w:vAlign w:val="center"/>
          </w:tcPr>
          <w:p w14:paraId="5A03FE61">
            <w:pPr>
              <w:tabs>
                <w:tab w:val="left" w:pos="567"/>
                <w:tab w:val="center" w:pos="1096"/>
              </w:tabs>
              <w:spacing w:line="360" w:lineRule="auto"/>
              <w:jc w:val="center"/>
              <w:rPr>
                <w:rFonts w:hint="eastAsia" w:ascii="宋体" w:hAnsi="宋体"/>
                <w:sz w:val="24"/>
                <w:szCs w:val="24"/>
              </w:rPr>
            </w:pPr>
            <w:r>
              <w:rPr>
                <w:rFonts w:hint="eastAsia" w:ascii="宋体" w:hAnsi="宋体"/>
                <w:sz w:val="24"/>
                <w:szCs w:val="24"/>
              </w:rPr>
              <w:t>xxx</w:t>
            </w:r>
          </w:p>
        </w:tc>
      </w:tr>
      <w:tr w14:paraId="6E0B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9293" w:type="dxa"/>
            <w:gridSpan w:val="6"/>
            <w:noWrap w:val="0"/>
            <w:vAlign w:val="center"/>
          </w:tcPr>
          <w:p w14:paraId="11A75D9F">
            <w:pPr>
              <w:spacing w:line="360" w:lineRule="auto"/>
              <w:rPr>
                <w:rFonts w:hint="eastAsia" w:ascii="宋体" w:hAnsi="宋体"/>
                <w:sz w:val="24"/>
                <w:szCs w:val="24"/>
              </w:rPr>
            </w:pPr>
            <w:r>
              <w:rPr>
                <w:rFonts w:hint="eastAsia" w:ascii="宋体" w:hAnsi="宋体"/>
                <w:sz w:val="24"/>
                <w:szCs w:val="24"/>
              </w:rPr>
              <w:t>合同租金总额：人民币x万x仟x佰x拾x元整(￥xxx)</w:t>
            </w:r>
          </w:p>
          <w:p w14:paraId="766BAAA5">
            <w:pPr>
              <w:spacing w:line="360" w:lineRule="auto"/>
              <w:rPr>
                <w:rFonts w:ascii="宋体" w:hAnsi="宋体" w:eastAsia="宋体"/>
                <w:sz w:val="24"/>
                <w:szCs w:val="24"/>
                <w:lang w:val="en-US" w:eastAsia="zh-CN"/>
              </w:rPr>
            </w:pPr>
            <w:r>
              <w:rPr>
                <w:rFonts w:hint="eastAsia" w:ascii="宋体" w:hAnsi="宋体"/>
                <w:sz w:val="24"/>
                <w:szCs w:val="24"/>
                <w:lang w:val="en-US" w:eastAsia="zh-CN"/>
              </w:rPr>
              <w:t>不含税价：</w:t>
            </w:r>
            <w:r>
              <w:rPr>
                <w:rFonts w:ascii="宋体" w:hAnsi="宋体"/>
                <w:sz w:val="24"/>
                <w:szCs w:val="24"/>
                <w:lang w:val="en-US" w:eastAsia="zh-CN"/>
              </w:rPr>
              <w:t>xx</w:t>
            </w:r>
            <w:r>
              <w:rPr>
                <w:rFonts w:hint="eastAsia" w:ascii="宋体" w:hAnsi="宋体"/>
                <w:sz w:val="24"/>
                <w:szCs w:val="24"/>
                <w:lang w:val="en-US" w:eastAsia="zh-CN"/>
              </w:rPr>
              <w:t>元；税金：</w:t>
            </w:r>
            <w:r>
              <w:rPr>
                <w:rFonts w:ascii="宋体" w:hAnsi="宋体"/>
                <w:sz w:val="24"/>
                <w:szCs w:val="24"/>
                <w:lang w:val="en-US" w:eastAsia="zh-CN"/>
              </w:rPr>
              <w:t>xx</w:t>
            </w:r>
            <w:r>
              <w:rPr>
                <w:rFonts w:hint="eastAsia" w:ascii="宋体" w:hAnsi="宋体"/>
                <w:sz w:val="24"/>
                <w:szCs w:val="24"/>
                <w:lang w:val="en-US" w:eastAsia="zh-CN"/>
              </w:rPr>
              <w:t>元</w:t>
            </w:r>
            <w:r>
              <w:rPr>
                <w:rFonts w:ascii="宋体" w:hAnsi="宋体"/>
                <w:sz w:val="24"/>
                <w:szCs w:val="24"/>
                <w:lang w:val="en-US" w:eastAsia="zh-CN"/>
              </w:rPr>
              <w:t xml:space="preserve"> </w:t>
            </w:r>
            <w:r>
              <w:rPr>
                <w:rFonts w:hint="eastAsia" w:ascii="宋体" w:hAnsi="宋体"/>
                <w:sz w:val="24"/>
                <w:szCs w:val="24"/>
                <w:lang w:val="en-US" w:eastAsia="zh-CN"/>
              </w:rPr>
              <w:t>（实际税金以发票为准）</w:t>
            </w:r>
          </w:p>
        </w:tc>
      </w:tr>
    </w:tbl>
    <w:p w14:paraId="08C4699F">
      <w:pPr>
        <w:spacing w:line="360" w:lineRule="auto"/>
        <w:ind w:firstLine="560"/>
        <w:jc w:val="left"/>
        <w:rPr>
          <w:rFonts w:hint="eastAsia" w:ascii="宋体" w:hAnsi="宋体"/>
          <w:sz w:val="28"/>
          <w:szCs w:val="28"/>
        </w:rPr>
      </w:pPr>
      <w:r>
        <w:rPr>
          <w:rFonts w:hint="eastAsia" w:ascii="宋体" w:hAnsi="宋体"/>
          <w:sz w:val="28"/>
          <w:szCs w:val="28"/>
        </w:rPr>
        <w:t>四、租赁保证金和租金的支付</w:t>
      </w:r>
    </w:p>
    <w:p w14:paraId="4A15B540">
      <w:pPr>
        <w:spacing w:line="360" w:lineRule="auto"/>
        <w:ind w:left="1" w:firstLine="560"/>
        <w:rPr>
          <w:rFonts w:hint="eastAsia" w:ascii="宋体" w:hAnsi="宋体"/>
          <w:sz w:val="28"/>
          <w:szCs w:val="28"/>
        </w:rPr>
      </w:pPr>
      <w:r>
        <w:rPr>
          <w:rFonts w:hint="eastAsia" w:ascii="宋体" w:hAnsi="宋体"/>
          <w:sz w:val="28"/>
          <w:szCs w:val="28"/>
        </w:rPr>
        <w:t>合同签订之日，乙方须支付租赁保证金（以下简称保证金）        xxx元和首月租金xxx元，合计：xxx元。并于合同签订第2个月起每月</w:t>
      </w:r>
      <w:r>
        <w:rPr>
          <w:rFonts w:hint="eastAsia" w:ascii="宋体" w:hAnsi="宋体"/>
          <w:sz w:val="28"/>
          <w:szCs w:val="28"/>
          <w:u w:val="single"/>
        </w:rPr>
        <w:t xml:space="preserve">  </w:t>
      </w:r>
      <w:r>
        <w:rPr>
          <w:rFonts w:hint="eastAsia" w:ascii="宋体" w:hAnsi="宋体"/>
          <w:sz w:val="28"/>
          <w:szCs w:val="28"/>
        </w:rPr>
        <w:t>日前（遇节假日相应顺延至节假日结束后的第一个工作日）支付当月租金。</w:t>
      </w:r>
    </w:p>
    <w:p w14:paraId="434AE635">
      <w:pPr>
        <w:spacing w:line="360" w:lineRule="auto"/>
        <w:ind w:left="1" w:firstLine="560"/>
        <w:rPr>
          <w:rFonts w:hint="eastAsia" w:ascii="宋体" w:hAnsi="宋体"/>
          <w:sz w:val="28"/>
          <w:szCs w:val="28"/>
        </w:rPr>
      </w:pPr>
      <w:r>
        <w:rPr>
          <w:rFonts w:hint="eastAsia" w:ascii="宋体" w:hAnsi="宋体"/>
          <w:sz w:val="28"/>
          <w:szCs w:val="28"/>
        </w:rPr>
        <w:t>保证金不具有定金性质。</w:t>
      </w:r>
    </w:p>
    <w:p w14:paraId="501EF383">
      <w:pPr>
        <w:spacing w:line="360" w:lineRule="auto"/>
        <w:ind w:firstLine="560"/>
        <w:rPr>
          <w:rFonts w:hint="eastAsia" w:ascii="宋体" w:hAnsi="宋体"/>
          <w:sz w:val="28"/>
          <w:szCs w:val="28"/>
        </w:rPr>
      </w:pPr>
      <w:r>
        <w:rPr>
          <w:rFonts w:hint="eastAsia" w:ascii="宋体" w:hAnsi="宋体"/>
          <w:sz w:val="28"/>
          <w:szCs w:val="28"/>
        </w:rPr>
        <w:t>租赁期内，如乙方违反合同约定或违反物业管理法律关系项下应尽义务，导致甲方损失的，甲方有权直接按损失金额扣减保证金，乙方须于甲方扣减保证金之日起7日内补足保证金，未及时补足的，按欠付租金性质承担违约责任。</w:t>
      </w:r>
    </w:p>
    <w:p w14:paraId="4DBF6C2E">
      <w:pPr>
        <w:spacing w:line="360" w:lineRule="auto"/>
        <w:ind w:left="1" w:firstLine="560"/>
        <w:rPr>
          <w:rFonts w:hint="eastAsia" w:ascii="宋体" w:hAnsi="宋体"/>
          <w:sz w:val="28"/>
          <w:szCs w:val="28"/>
        </w:rPr>
      </w:pPr>
      <w:r>
        <w:rPr>
          <w:rFonts w:hint="eastAsia" w:ascii="宋体" w:hAnsi="宋体"/>
          <w:sz w:val="28"/>
          <w:szCs w:val="28"/>
        </w:rPr>
        <w:t>租赁期满，乙方在交清物业租金、管理费、煤气费、水电费、卫生费、电话费及其他应交费用后，将物业交还给甲方，甲方确认物业没有因为乙方原因造成的欠费和损坏后，不计利息将保证金退还给乙方；如因乙方原因造成物业欠费或损坏，甲方有权直接按乙方欠费金额或损失金额扣减保证金，保证金不足扣减的，甲方有权继续向乙方追收。</w:t>
      </w:r>
    </w:p>
    <w:p w14:paraId="5E1D4611">
      <w:pPr>
        <w:spacing w:line="360" w:lineRule="auto"/>
        <w:ind w:left="1" w:firstLine="560"/>
        <w:rPr>
          <w:rFonts w:hint="eastAsia" w:ascii="宋体" w:hAnsi="宋体"/>
          <w:sz w:val="28"/>
          <w:szCs w:val="28"/>
        </w:rPr>
      </w:pPr>
      <w:r>
        <w:rPr>
          <w:rFonts w:hint="eastAsia" w:ascii="宋体" w:hAnsi="宋体"/>
          <w:sz w:val="28"/>
          <w:szCs w:val="28"/>
        </w:rPr>
        <w:t>乙方支付保证金和租金可采取银行转账或支票交付的方式进行。银行转账须划入甲方以下指定银行账户：</w:t>
      </w:r>
    </w:p>
    <w:p w14:paraId="63F90301">
      <w:pPr>
        <w:spacing w:line="360" w:lineRule="auto"/>
        <w:ind w:left="1" w:firstLine="562"/>
        <w:rPr>
          <w:rFonts w:hint="eastAsia" w:ascii="宋体" w:hAnsi="宋体"/>
          <w:b/>
          <w:sz w:val="28"/>
          <w:szCs w:val="28"/>
        </w:rPr>
      </w:pPr>
      <w:r>
        <w:rPr>
          <w:rFonts w:hint="eastAsia" w:ascii="宋体" w:hAnsi="宋体"/>
          <w:b/>
          <w:sz w:val="28"/>
          <w:szCs w:val="28"/>
        </w:rPr>
        <w:t>收款人名称：广州市天河投资</w:t>
      </w:r>
      <w:r>
        <w:rPr>
          <w:rFonts w:hint="eastAsia" w:ascii="宋体" w:hAnsi="宋体"/>
          <w:b/>
          <w:sz w:val="28"/>
          <w:szCs w:val="28"/>
          <w:lang w:val="en-US" w:eastAsia="zh-CN"/>
        </w:rPr>
        <w:t>集团</w:t>
      </w:r>
      <w:r>
        <w:rPr>
          <w:rFonts w:hint="eastAsia" w:ascii="宋体" w:hAnsi="宋体"/>
          <w:b/>
          <w:sz w:val="28"/>
          <w:szCs w:val="28"/>
        </w:rPr>
        <w:t>有限公司</w:t>
      </w:r>
    </w:p>
    <w:p w14:paraId="4CDA6421">
      <w:pPr>
        <w:spacing w:line="360" w:lineRule="auto"/>
        <w:ind w:left="1" w:firstLine="562"/>
        <w:rPr>
          <w:rFonts w:hint="eastAsia" w:ascii="宋体" w:hAnsi="宋体"/>
          <w:b/>
          <w:sz w:val="28"/>
          <w:szCs w:val="28"/>
        </w:rPr>
      </w:pPr>
      <w:r>
        <w:rPr>
          <w:rFonts w:hint="eastAsia" w:ascii="宋体" w:hAnsi="宋体"/>
          <w:b/>
          <w:sz w:val="28"/>
          <w:szCs w:val="28"/>
        </w:rPr>
        <w:t>收款人开户行：中国建设银行广州龙口路支行</w:t>
      </w:r>
    </w:p>
    <w:p w14:paraId="67A8360E">
      <w:pPr>
        <w:spacing w:line="360" w:lineRule="auto"/>
        <w:ind w:left="1" w:firstLine="562"/>
        <w:rPr>
          <w:rFonts w:hint="eastAsia" w:ascii="宋体" w:hAnsi="宋体"/>
          <w:b/>
          <w:sz w:val="28"/>
          <w:szCs w:val="28"/>
        </w:rPr>
      </w:pPr>
      <w:r>
        <w:rPr>
          <w:rFonts w:hint="eastAsia" w:ascii="宋体" w:hAnsi="宋体"/>
          <w:b/>
          <w:sz w:val="28"/>
          <w:szCs w:val="28"/>
        </w:rPr>
        <w:t>收款人帐号：</w:t>
      </w:r>
      <w:r>
        <w:rPr>
          <w:rFonts w:ascii="宋体" w:hAnsi="宋体"/>
          <w:b/>
          <w:sz w:val="28"/>
          <w:szCs w:val="28"/>
        </w:rPr>
        <w:t>44001580909059000222</w:t>
      </w:r>
    </w:p>
    <w:p w14:paraId="0CCCB0CD">
      <w:pPr>
        <w:spacing w:line="360" w:lineRule="auto"/>
        <w:ind w:left="1" w:firstLine="560"/>
        <w:rPr>
          <w:rFonts w:hint="eastAsia" w:ascii="宋体" w:hAnsi="宋体"/>
          <w:sz w:val="28"/>
          <w:szCs w:val="28"/>
        </w:rPr>
      </w:pPr>
      <w:r>
        <w:rPr>
          <w:rFonts w:hint="eastAsia" w:ascii="宋体" w:hAnsi="宋体"/>
          <w:sz w:val="28"/>
          <w:szCs w:val="28"/>
        </w:rPr>
        <w:t>乙方通过现金送行办理银行转账的，须在送款单的付款人处或附言位置填写乙方名称；以支票交付的须使用乙方本单位或本人的支票。</w:t>
      </w:r>
    </w:p>
    <w:p w14:paraId="72479329">
      <w:pPr>
        <w:spacing w:line="360" w:lineRule="auto"/>
        <w:ind w:left="1" w:firstLine="560"/>
        <w:rPr>
          <w:rFonts w:hint="eastAsia" w:ascii="宋体" w:hAnsi="宋体"/>
          <w:b/>
          <w:sz w:val="28"/>
          <w:szCs w:val="28"/>
        </w:rPr>
      </w:pPr>
      <w:r>
        <w:rPr>
          <w:rFonts w:hint="eastAsia" w:ascii="宋体" w:hAnsi="宋体"/>
          <w:sz w:val="28"/>
          <w:szCs w:val="28"/>
        </w:rPr>
        <w:t>上述款项到达甲方账户后，甲方通知乙方领取发票。</w:t>
      </w:r>
    </w:p>
    <w:p w14:paraId="1456F37F">
      <w:pPr>
        <w:spacing w:line="360" w:lineRule="auto"/>
        <w:ind w:firstLine="560"/>
        <w:jc w:val="left"/>
        <w:rPr>
          <w:rFonts w:hint="eastAsia" w:ascii="宋体" w:hAnsi="宋体"/>
          <w:sz w:val="28"/>
          <w:szCs w:val="28"/>
        </w:rPr>
      </w:pPr>
      <w:r>
        <w:rPr>
          <w:rFonts w:hint="eastAsia" w:ascii="宋体" w:hAnsi="宋体"/>
          <w:sz w:val="28"/>
          <w:szCs w:val="28"/>
        </w:rPr>
        <w:t>五、甲方责任</w:t>
      </w:r>
    </w:p>
    <w:p w14:paraId="6729202D">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1、确保物业权属无争议。</w:t>
      </w:r>
    </w:p>
    <w:p w14:paraId="5C7784D5">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2、在收到保证金和首月租金</w:t>
      </w:r>
      <w:r>
        <w:rPr>
          <w:rFonts w:hint="eastAsia" w:ascii="宋体" w:hAnsi="宋体"/>
          <w:color w:val="000000"/>
          <w:sz w:val="28"/>
          <w:szCs w:val="28"/>
          <w:u w:val="single"/>
        </w:rPr>
        <w:t xml:space="preserve"> 7 </w:t>
      </w:r>
      <w:r>
        <w:rPr>
          <w:rFonts w:hint="eastAsia" w:ascii="宋体" w:hAnsi="宋体"/>
          <w:color w:val="000000"/>
          <w:sz w:val="28"/>
          <w:szCs w:val="28"/>
        </w:rPr>
        <w:t>日内</w:t>
      </w:r>
      <w:r>
        <w:rPr>
          <w:rFonts w:hint="eastAsia" w:ascii="宋体" w:hAnsi="宋体"/>
          <w:color w:val="000000"/>
          <w:spacing w:val="-20"/>
          <w:sz w:val="28"/>
          <w:szCs w:val="28"/>
        </w:rPr>
        <w:t>，</w:t>
      </w:r>
      <w:r>
        <w:rPr>
          <w:rFonts w:hint="eastAsia" w:ascii="宋体" w:hAnsi="宋体"/>
          <w:color w:val="000000"/>
          <w:sz w:val="28"/>
          <w:szCs w:val="28"/>
        </w:rPr>
        <w:t>将物业交付乙方。</w:t>
      </w:r>
    </w:p>
    <w:p w14:paraId="6D110997">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3、负责非乙方原因造成的但涉及安全隐患的设备、设施（包括但不限于物业主体结构、排气系统、供电、给排水、排污、消防系统、线缆和管道等）的维修。</w:t>
      </w:r>
    </w:p>
    <w:p w14:paraId="3B00BBF2">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六、乙方责任</w:t>
      </w:r>
    </w:p>
    <w:p w14:paraId="1AAAB147">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1、按时足额支付保证金和物业租金。</w:t>
      </w:r>
    </w:p>
    <w:p w14:paraId="41133FE2">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2、承担租赁期内使用物业所发生的一切费用，如：管理费、水电费、卫生费、电话费、电视信号费、煤气费等。</w:t>
      </w:r>
    </w:p>
    <w:p w14:paraId="50AD542D">
      <w:pPr>
        <w:spacing w:line="360" w:lineRule="auto"/>
        <w:ind w:firstLine="560"/>
        <w:rPr>
          <w:rFonts w:hint="eastAsia" w:ascii="宋体" w:hAnsi="宋体"/>
          <w:color w:val="000000"/>
          <w:sz w:val="28"/>
          <w:szCs w:val="28"/>
        </w:rPr>
      </w:pPr>
      <w:r>
        <w:rPr>
          <w:rFonts w:hint="eastAsia" w:ascii="宋体" w:hAnsi="宋体"/>
          <w:color w:val="000000"/>
          <w:sz w:val="28"/>
          <w:szCs w:val="28"/>
        </w:rPr>
        <w:t>3、如需对物业进行装修，须事先向甲方提出书面申请，在征得甲方书面同意后，按有关规定自行向规划、消防、城管等相关部门办理装修报建等有关手续，并承担由此产生的一切费用。租赁期满、合同终止或解除合同时，乙方装修形成的设施、设备除可拆除且拆除后不会影响物业使用的部分可由乙方拆除外，其余部分均不得拆除，并无偿归甲方所有。</w:t>
      </w:r>
    </w:p>
    <w:p w14:paraId="581D5BC9">
      <w:pPr>
        <w:tabs>
          <w:tab w:val="left" w:pos="535"/>
        </w:tabs>
        <w:spacing w:line="360" w:lineRule="auto"/>
        <w:ind w:firstLine="560"/>
        <w:rPr>
          <w:rFonts w:hint="eastAsia" w:ascii="宋体" w:hAnsi="宋体"/>
          <w:color w:val="000000"/>
          <w:sz w:val="28"/>
          <w:szCs w:val="28"/>
        </w:rPr>
      </w:pPr>
      <w:r>
        <w:rPr>
          <w:rFonts w:hint="eastAsia" w:ascii="宋体" w:hAnsi="宋体"/>
          <w:color w:val="000000"/>
          <w:sz w:val="28"/>
          <w:szCs w:val="28"/>
        </w:rPr>
        <w:t>4、负责合理谨慎使用所有配套设施、设备（包括但不限于物业内部的所有设施、设备如排气系统、供电、给排水、排污、消防系统、线缆和管道等），并负责除第五点应由甲方承担维修的项目外的维修并支付相应费用</w:t>
      </w:r>
      <w:r>
        <w:rPr>
          <w:rFonts w:hint="eastAsia" w:ascii="宋体" w:hAnsi="宋体"/>
          <w:color w:val="000000"/>
          <w:sz w:val="28"/>
          <w:szCs w:val="28"/>
          <w:lang w:eastAsia="zh-CN"/>
        </w:rPr>
        <w:t>。</w:t>
      </w:r>
      <w:r>
        <w:rPr>
          <w:rFonts w:hint="eastAsia" w:ascii="宋体" w:hAnsi="宋体"/>
          <w:color w:val="000000"/>
          <w:sz w:val="28"/>
          <w:szCs w:val="28"/>
        </w:rPr>
        <w:t>如乙方怠于保养、拒不维修，甲方有权终止合同，由此造成的损失由乙方负责。</w:t>
      </w:r>
    </w:p>
    <w:p w14:paraId="27405A3A">
      <w:pPr>
        <w:tabs>
          <w:tab w:val="left" w:pos="535"/>
        </w:tabs>
        <w:spacing w:line="360" w:lineRule="auto"/>
        <w:ind w:firstLine="560"/>
        <w:rPr>
          <w:rFonts w:hint="eastAsia" w:ascii="宋体" w:hAnsi="宋体"/>
          <w:color w:val="000000"/>
          <w:sz w:val="28"/>
          <w:szCs w:val="28"/>
        </w:rPr>
      </w:pPr>
      <w:r>
        <w:rPr>
          <w:rFonts w:hint="eastAsia" w:ascii="宋体" w:hAnsi="宋体"/>
          <w:color w:val="000000"/>
          <w:sz w:val="28"/>
          <w:szCs w:val="28"/>
        </w:rPr>
        <w:t>5、未经甲方书面同意，不得擅自将物业转租、分租或以其他方式转与第三方使用，不得更改物业的租赁用途，否则视为乙方违约，甲方将没收保证金，并有权解除合同。</w:t>
      </w:r>
    </w:p>
    <w:p w14:paraId="1B3D21ED">
      <w:pPr>
        <w:spacing w:line="360" w:lineRule="auto"/>
        <w:ind w:firstLine="543"/>
        <w:rPr>
          <w:rFonts w:hint="eastAsia" w:ascii="宋体" w:hAnsi="宋体"/>
          <w:color w:val="000000"/>
          <w:sz w:val="28"/>
          <w:szCs w:val="28"/>
        </w:rPr>
      </w:pPr>
      <w:r>
        <w:rPr>
          <w:rFonts w:hint="eastAsia" w:ascii="宋体" w:hAnsi="宋体"/>
          <w:color w:val="000000"/>
          <w:sz w:val="28"/>
          <w:szCs w:val="28"/>
        </w:rPr>
        <w:t>6、遵守国家有关法律、法规，服从物业所在小区的管理规定，保证没有污染和噪音影响周边环境，否则由此造成的一切经济和法律责任由乙方承担；如有聚赌、嫖宿、吸（贩）毒、斗殴等触犯刑法的行为，除乙方自负经济和法律责任外，甲方有权解除合同并没收保证金。</w:t>
      </w:r>
    </w:p>
    <w:p w14:paraId="6FC93710">
      <w:pPr>
        <w:spacing w:line="360" w:lineRule="auto"/>
        <w:ind w:firstLine="560"/>
        <w:rPr>
          <w:rFonts w:hint="eastAsia" w:ascii="宋体" w:hAnsi="宋体" w:cs="楷体_GB2312"/>
          <w:color w:val="000000"/>
          <w:sz w:val="28"/>
          <w:szCs w:val="28"/>
          <w:lang w:val="zh-CN"/>
        </w:rPr>
      </w:pPr>
      <w:r>
        <w:rPr>
          <w:rFonts w:hint="eastAsia" w:ascii="宋体" w:hAnsi="宋体"/>
          <w:color w:val="000000"/>
          <w:sz w:val="28"/>
          <w:szCs w:val="28"/>
        </w:rPr>
        <w:t>7、负责物业的安全、防火和环境卫生等工作；向甲方赔偿因乙方原因导致火灾而给物业造成的损失；无条件配合甲方对物业进行消防设施安装和安全检查；对</w:t>
      </w:r>
      <w:r>
        <w:rPr>
          <w:rFonts w:hint="eastAsia" w:ascii="宋体" w:hAnsi="宋体" w:cs="楷体_GB2312"/>
          <w:color w:val="000000"/>
          <w:sz w:val="28"/>
          <w:szCs w:val="28"/>
          <w:lang w:val="zh-CN"/>
        </w:rPr>
        <w:t>甲方提出的物业消防隐患及时整改以消除隐患。在甲方连续3次发出物业消防隐患整改通知书后仍未整改的，视为乙方违约，甲方有权解除合同，由此造成的一切责任和损失由乙方承担。</w:t>
      </w:r>
    </w:p>
    <w:p w14:paraId="4BFD211D">
      <w:pPr>
        <w:tabs>
          <w:tab w:val="left" w:pos="535"/>
        </w:tabs>
        <w:spacing w:line="360" w:lineRule="auto"/>
        <w:ind w:firstLine="560"/>
        <w:rPr>
          <w:rFonts w:hint="eastAsia" w:ascii="宋体" w:hAnsi="宋体" w:cs="楷体_GB2312"/>
          <w:color w:val="000000"/>
          <w:sz w:val="28"/>
          <w:szCs w:val="28"/>
          <w:lang w:val="zh-CN"/>
        </w:rPr>
      </w:pPr>
      <w:r>
        <w:rPr>
          <w:rFonts w:hint="eastAsia" w:ascii="宋体" w:hAnsi="宋体" w:cs="楷体_GB2312"/>
          <w:color w:val="000000"/>
          <w:sz w:val="28"/>
          <w:szCs w:val="28"/>
          <w:lang w:val="zh-CN"/>
        </w:rPr>
        <w:t>发生火灾等紧急情况时，甲方或其授权代表可以在无通知乙方的情况下强行进入物业，乙方不得以任何理由向甲方提出索赔。</w:t>
      </w:r>
    </w:p>
    <w:p w14:paraId="1AEA58E1">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8、不得在物业存放易燃易爆或剧毒等危险物品。</w:t>
      </w:r>
    </w:p>
    <w:p w14:paraId="3E8BC840">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9、租赁期满或解除合同日之次日，乙方应将该物业及其附属设备完好交还甲方，并及时将家私杂物全部搬走，否则，视为乙方的弃物，甲方有</w:t>
      </w:r>
      <w:r>
        <w:rPr>
          <w:rFonts w:hint="eastAsia" w:ascii="宋体" w:hAnsi="宋体"/>
          <w:color w:val="000000"/>
          <w:spacing w:val="20"/>
          <w:sz w:val="28"/>
          <w:szCs w:val="28"/>
        </w:rPr>
        <w:t>权自行处理，除向乙方收取清理费用</w:t>
      </w:r>
      <w:r>
        <w:rPr>
          <w:rFonts w:hint="eastAsia" w:ascii="宋体" w:hAnsi="宋体"/>
          <w:color w:val="000000"/>
          <w:sz w:val="28"/>
          <w:szCs w:val="28"/>
        </w:rPr>
        <w:t>外还按当期租金的200％收取占用费。</w:t>
      </w:r>
    </w:p>
    <w:p w14:paraId="04B1E635">
      <w:pPr>
        <w:spacing w:line="360" w:lineRule="auto"/>
        <w:ind w:firstLine="560"/>
        <w:rPr>
          <w:rFonts w:hint="eastAsia" w:ascii="宋体" w:hAnsi="宋体"/>
          <w:color w:val="000000"/>
          <w:sz w:val="28"/>
          <w:szCs w:val="28"/>
        </w:rPr>
      </w:pPr>
      <w:r>
        <w:rPr>
          <w:rFonts w:hint="eastAsia" w:ascii="宋体" w:hAnsi="宋体"/>
          <w:color w:val="000000"/>
          <w:sz w:val="28"/>
          <w:szCs w:val="28"/>
        </w:rPr>
        <w:t>10、鉴于在签订合同时，双方已明确约定按物业现状租赁，且甲方已向乙方提供了物业现有相关证照资料，乙方已经完全了解物业的性质和状况，即使租赁期内因物业证照资料的原因影响乙方经营使用的，并不视为甲方违约，除导致国家法律规定的合同无效情形外，乙方仍须履行合同约定，因此造成的损失由乙方自行承担。</w:t>
      </w:r>
    </w:p>
    <w:p w14:paraId="4A6A0ADC">
      <w:pPr>
        <w:tabs>
          <w:tab w:val="left" w:pos="672"/>
        </w:tabs>
        <w:spacing w:line="360" w:lineRule="auto"/>
        <w:ind w:firstLine="560"/>
        <w:rPr>
          <w:rFonts w:hint="eastAsia" w:ascii="宋体" w:hAnsi="宋体"/>
          <w:color w:val="000000"/>
          <w:sz w:val="28"/>
          <w:szCs w:val="28"/>
        </w:rPr>
      </w:pPr>
      <w:r>
        <w:rPr>
          <w:rFonts w:hint="eastAsia" w:ascii="宋体" w:hAnsi="宋体"/>
          <w:color w:val="000000"/>
          <w:sz w:val="28"/>
          <w:szCs w:val="28"/>
        </w:rPr>
        <w:t>11、负责解决因承租、使用物业所产生的一切纠纷和债权债务，保证甲方不会因乙方的原因被第三方因劳资纠纷、人身伤亡、财产损失、商标侵权、专利侵权等导致责任或损失</w:t>
      </w:r>
      <w:r>
        <w:rPr>
          <w:rFonts w:hint="eastAsia" w:ascii="宋体" w:hAnsi="宋体"/>
          <w:b/>
          <w:color w:val="000000"/>
          <w:sz w:val="28"/>
          <w:szCs w:val="28"/>
        </w:rPr>
        <w:t>，</w:t>
      </w:r>
      <w:r>
        <w:rPr>
          <w:rFonts w:hint="eastAsia" w:ascii="宋体" w:hAnsi="宋体"/>
          <w:color w:val="000000"/>
          <w:sz w:val="28"/>
          <w:szCs w:val="28"/>
        </w:rPr>
        <w:t>否则，乙方将承担责任和负责赔偿。</w:t>
      </w:r>
    </w:p>
    <w:p w14:paraId="65E63A24">
      <w:pPr>
        <w:spacing w:line="360" w:lineRule="auto"/>
        <w:ind w:firstLine="560"/>
        <w:rPr>
          <w:rFonts w:hint="eastAsia" w:ascii="宋体" w:hAnsi="宋体"/>
          <w:color w:val="000000"/>
          <w:sz w:val="28"/>
          <w:szCs w:val="28"/>
        </w:rPr>
      </w:pPr>
      <w:r>
        <w:rPr>
          <w:rFonts w:hint="eastAsia" w:ascii="宋体" w:hAnsi="宋体"/>
          <w:color w:val="000000"/>
          <w:sz w:val="28"/>
          <w:szCs w:val="28"/>
        </w:rPr>
        <w:t>12、承担和解决因物业发生火灾、盗窃等事故所产生的责任和损失；对于住宅物业，还需为物业内暂住人员办理暂住证和计划生育登记等手续。</w:t>
      </w:r>
    </w:p>
    <w:p w14:paraId="6082F6F8">
      <w:pPr>
        <w:tabs>
          <w:tab w:val="left" w:pos="535"/>
        </w:tabs>
        <w:spacing w:line="360" w:lineRule="auto"/>
        <w:ind w:firstLine="560"/>
        <w:rPr>
          <w:rFonts w:hint="eastAsia" w:ascii="宋体" w:hAnsi="宋体"/>
          <w:color w:val="000000"/>
          <w:sz w:val="28"/>
          <w:szCs w:val="28"/>
        </w:rPr>
      </w:pPr>
      <w:r>
        <w:rPr>
          <w:rFonts w:hint="eastAsia" w:ascii="宋体" w:hAnsi="宋体"/>
          <w:color w:val="000000"/>
          <w:sz w:val="28"/>
          <w:szCs w:val="28"/>
        </w:rPr>
        <w:t>13、如需要增加物业水、电表容量，须征得甲方书面同意，并自行负责办理相关手续和承担相应费用。</w:t>
      </w:r>
    </w:p>
    <w:p w14:paraId="0A81B011">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七、续租</w:t>
      </w:r>
    </w:p>
    <w:p w14:paraId="69172880">
      <w:pPr>
        <w:spacing w:line="360" w:lineRule="auto"/>
        <w:ind w:firstLine="645"/>
        <w:rPr>
          <w:rFonts w:hint="eastAsia" w:ascii="宋体" w:hAnsi="宋体"/>
          <w:color w:val="000000"/>
          <w:sz w:val="28"/>
          <w:szCs w:val="28"/>
        </w:rPr>
      </w:pPr>
      <w:r>
        <w:rPr>
          <w:rFonts w:hint="eastAsia" w:ascii="宋体" w:hAnsi="宋体"/>
          <w:color w:val="000000"/>
          <w:sz w:val="28"/>
          <w:szCs w:val="28"/>
        </w:rPr>
        <w:t>本租赁合同到期后，在乙方不存在合同约定的任何违约行为或者乙方已按合同约定承担了全部违约责任的情况下，乙方如有续约意向，并按国家有关规定办理物业出租公开竞价手续的，在同等条件下，乙方可享受优先承租权。</w:t>
      </w:r>
    </w:p>
    <w:p w14:paraId="7EB6A8CD">
      <w:pPr>
        <w:tabs>
          <w:tab w:val="left" w:pos="540"/>
        </w:tabs>
        <w:spacing w:line="360" w:lineRule="auto"/>
        <w:ind w:firstLine="560"/>
        <w:rPr>
          <w:rFonts w:hint="eastAsia" w:ascii="宋体" w:hAnsi="宋体"/>
          <w:bCs/>
          <w:color w:val="000000"/>
          <w:sz w:val="28"/>
          <w:szCs w:val="28"/>
        </w:rPr>
      </w:pPr>
      <w:r>
        <w:rPr>
          <w:rFonts w:hint="eastAsia" w:ascii="宋体" w:hAnsi="宋体"/>
          <w:color w:val="000000"/>
          <w:sz w:val="28"/>
          <w:szCs w:val="28"/>
        </w:rPr>
        <w:t>八、</w:t>
      </w:r>
      <w:r>
        <w:rPr>
          <w:rFonts w:hint="eastAsia" w:ascii="宋体" w:hAnsi="宋体"/>
          <w:bCs/>
          <w:color w:val="000000"/>
          <w:sz w:val="28"/>
          <w:szCs w:val="28"/>
        </w:rPr>
        <w:t>合同的变更、终止或解除</w:t>
      </w:r>
    </w:p>
    <w:p w14:paraId="471E1DCC">
      <w:pPr>
        <w:tabs>
          <w:tab w:val="left" w:pos="540"/>
        </w:tabs>
        <w:spacing w:line="360" w:lineRule="auto"/>
        <w:ind w:firstLine="560"/>
        <w:rPr>
          <w:rFonts w:hint="eastAsia" w:ascii="宋体" w:hAnsi="宋体"/>
          <w:color w:val="000000"/>
          <w:sz w:val="28"/>
          <w:szCs w:val="28"/>
        </w:rPr>
      </w:pPr>
      <w:r>
        <w:rPr>
          <w:rFonts w:hint="eastAsia" w:ascii="宋体" w:hAnsi="宋体"/>
          <w:color w:val="000000"/>
          <w:sz w:val="28"/>
          <w:szCs w:val="28"/>
        </w:rPr>
        <w:t>1、无法定或约定的理由，任何一方不得变更或解除合同。</w:t>
      </w:r>
    </w:p>
    <w:p w14:paraId="3571B54F">
      <w:pPr>
        <w:tabs>
          <w:tab w:val="left" w:pos="540"/>
        </w:tabs>
        <w:spacing w:line="360" w:lineRule="auto"/>
        <w:ind w:firstLine="560"/>
        <w:rPr>
          <w:rFonts w:hint="eastAsia" w:ascii="宋体" w:hAnsi="宋体"/>
          <w:color w:val="000000"/>
          <w:sz w:val="28"/>
          <w:szCs w:val="28"/>
        </w:rPr>
      </w:pPr>
      <w:r>
        <w:rPr>
          <w:rFonts w:hint="eastAsia" w:ascii="宋体" w:hAnsi="宋体"/>
          <w:color w:val="000000"/>
          <w:sz w:val="28"/>
          <w:szCs w:val="28"/>
        </w:rPr>
        <w:t>2、合同的变更须签订书面协议。</w:t>
      </w:r>
    </w:p>
    <w:p w14:paraId="74C149AE">
      <w:pPr>
        <w:tabs>
          <w:tab w:val="left" w:pos="540"/>
        </w:tabs>
        <w:spacing w:line="360" w:lineRule="auto"/>
        <w:ind w:firstLine="560"/>
        <w:rPr>
          <w:rFonts w:hint="eastAsia" w:ascii="宋体" w:hAnsi="宋体"/>
          <w:color w:val="000000"/>
          <w:sz w:val="28"/>
          <w:szCs w:val="28"/>
        </w:rPr>
      </w:pPr>
      <w:r>
        <w:rPr>
          <w:rFonts w:hint="eastAsia" w:ascii="宋体" w:hAnsi="宋体"/>
          <w:color w:val="000000"/>
          <w:sz w:val="28"/>
          <w:szCs w:val="28"/>
        </w:rPr>
        <w:t>3、租赁期内发生下列情况之一的，合同自动终止，双方互不承担责任，但终止事由发生前乙方欠付甲方的租金及其他所欠费用仍需继续支付，且甲方有权从保证金中直接扣减乙方欠付金额，剩余保证金无息返还乙方：</w:t>
      </w:r>
    </w:p>
    <w:p w14:paraId="40FCE74D">
      <w:pPr>
        <w:tabs>
          <w:tab w:val="left" w:pos="370"/>
        </w:tabs>
        <w:spacing w:line="360" w:lineRule="auto"/>
        <w:ind w:firstLine="560"/>
        <w:rPr>
          <w:rFonts w:hint="eastAsia" w:ascii="宋体" w:hAnsi="宋体"/>
          <w:color w:val="000000"/>
          <w:sz w:val="28"/>
          <w:szCs w:val="28"/>
        </w:rPr>
      </w:pPr>
      <w:r>
        <w:rPr>
          <w:rFonts w:hint="eastAsia" w:ascii="宋体" w:hAnsi="宋体"/>
          <w:color w:val="000000"/>
          <w:sz w:val="28"/>
          <w:szCs w:val="28"/>
        </w:rPr>
        <w:t>（1）物业所在土地被政府征用或收回的；</w:t>
      </w:r>
    </w:p>
    <w:p w14:paraId="15442102">
      <w:pPr>
        <w:tabs>
          <w:tab w:val="left" w:pos="370"/>
        </w:tabs>
        <w:spacing w:line="360" w:lineRule="auto"/>
        <w:ind w:firstLine="560"/>
        <w:rPr>
          <w:rFonts w:hint="eastAsia" w:ascii="宋体" w:hAnsi="宋体"/>
          <w:color w:val="000000"/>
          <w:sz w:val="28"/>
          <w:szCs w:val="28"/>
        </w:rPr>
      </w:pPr>
      <w:r>
        <w:rPr>
          <w:rFonts w:hint="eastAsia" w:ascii="宋体" w:hAnsi="宋体"/>
          <w:color w:val="000000"/>
          <w:sz w:val="28"/>
          <w:szCs w:val="28"/>
        </w:rPr>
        <w:t>（2）为社会公共利益或城市建设发展需要，政府拆迁物业的；</w:t>
      </w:r>
    </w:p>
    <w:p w14:paraId="20C9B757">
      <w:pPr>
        <w:spacing w:line="360" w:lineRule="auto"/>
        <w:ind w:firstLine="560"/>
        <w:rPr>
          <w:rFonts w:hint="eastAsia" w:ascii="宋体" w:hAnsi="宋体"/>
          <w:color w:val="000000"/>
          <w:sz w:val="28"/>
          <w:szCs w:val="28"/>
        </w:rPr>
      </w:pPr>
      <w:r>
        <w:rPr>
          <w:rFonts w:hint="eastAsia" w:ascii="宋体" w:hAnsi="宋体"/>
          <w:color w:val="000000"/>
          <w:sz w:val="28"/>
          <w:szCs w:val="28"/>
        </w:rPr>
        <w:t>（3）物业及其主要设施、设备非因甲方或乙方原因受到重大损毁或灭失，致使合同不能继续履行的；</w:t>
      </w:r>
    </w:p>
    <w:p w14:paraId="1625DBA3">
      <w:pPr>
        <w:spacing w:line="360" w:lineRule="auto"/>
        <w:ind w:firstLine="560"/>
        <w:rPr>
          <w:rFonts w:hint="eastAsia" w:ascii="宋体" w:hAnsi="宋体"/>
          <w:color w:val="000000"/>
          <w:sz w:val="28"/>
          <w:szCs w:val="28"/>
        </w:rPr>
      </w:pPr>
      <w:r>
        <w:rPr>
          <w:rFonts w:hint="eastAsia" w:ascii="宋体" w:hAnsi="宋体"/>
          <w:color w:val="000000"/>
          <w:sz w:val="28"/>
          <w:szCs w:val="28"/>
        </w:rPr>
        <w:t>（4）物业被鉴定为危险房屋的；</w:t>
      </w:r>
    </w:p>
    <w:p w14:paraId="2163E1FC">
      <w:pPr>
        <w:spacing w:line="360" w:lineRule="auto"/>
        <w:ind w:firstLine="560"/>
        <w:rPr>
          <w:rFonts w:hint="eastAsia" w:ascii="宋体" w:hAnsi="宋体"/>
          <w:color w:val="000000"/>
          <w:sz w:val="28"/>
          <w:szCs w:val="28"/>
        </w:rPr>
      </w:pPr>
      <w:r>
        <w:rPr>
          <w:rFonts w:hint="eastAsia" w:ascii="宋体" w:hAnsi="宋体"/>
          <w:color w:val="000000"/>
          <w:sz w:val="28"/>
          <w:szCs w:val="28"/>
        </w:rPr>
        <w:t>（5）因不可抗力或国家有关政策致使合同不能继续履行的。</w:t>
      </w:r>
    </w:p>
    <w:p w14:paraId="0B6B260D">
      <w:pPr>
        <w:spacing w:line="360" w:lineRule="auto"/>
        <w:ind w:firstLine="560"/>
        <w:rPr>
          <w:rFonts w:hint="eastAsia" w:ascii="宋体" w:hAnsi="宋体"/>
          <w:color w:val="000000"/>
          <w:sz w:val="28"/>
          <w:szCs w:val="28"/>
        </w:rPr>
      </w:pPr>
      <w:r>
        <w:rPr>
          <w:rFonts w:hint="eastAsia" w:ascii="宋体" w:hAnsi="宋体"/>
          <w:color w:val="000000"/>
          <w:sz w:val="28"/>
          <w:szCs w:val="28"/>
        </w:rPr>
        <w:t>4、上款第(1)、（2）项事由所产生的物业拆迁补偿或政府征地返还的权益归甲方所有。</w:t>
      </w:r>
    </w:p>
    <w:p w14:paraId="1F1B7E94">
      <w:pPr>
        <w:spacing w:line="360" w:lineRule="auto"/>
        <w:ind w:firstLine="560"/>
        <w:rPr>
          <w:rFonts w:hint="eastAsia" w:ascii="宋体" w:hAnsi="宋体"/>
          <w:color w:val="000000"/>
          <w:sz w:val="28"/>
          <w:szCs w:val="28"/>
          <w:u w:val="single"/>
        </w:rPr>
      </w:pPr>
      <w:r>
        <w:rPr>
          <w:rFonts w:hint="eastAsia" w:ascii="宋体" w:hAnsi="宋体"/>
          <w:color w:val="000000"/>
          <w:sz w:val="28"/>
          <w:szCs w:val="28"/>
        </w:rPr>
        <w:t>5、租赁期内发生下列情况之一的，甲方有权解除合同，乙方向甲方支付的保证金等一切款项不予退还，且乙方须在收到甲方发出的《收回场地通知》之日起</w:t>
      </w:r>
      <w:r>
        <w:rPr>
          <w:rFonts w:hint="eastAsia" w:ascii="宋体" w:hAnsi="宋体"/>
          <w:color w:val="000000"/>
          <w:sz w:val="28"/>
          <w:szCs w:val="28"/>
          <w:u w:val="single"/>
        </w:rPr>
        <w:t>次</w:t>
      </w:r>
      <w:r>
        <w:rPr>
          <w:rFonts w:hint="eastAsia" w:ascii="宋体" w:hAnsi="宋体"/>
          <w:color w:val="000000"/>
          <w:sz w:val="28"/>
          <w:szCs w:val="28"/>
        </w:rPr>
        <w:t>日内自行搬离物业。</w:t>
      </w:r>
    </w:p>
    <w:p w14:paraId="6B2648D4">
      <w:pPr>
        <w:tabs>
          <w:tab w:val="left" w:pos="535"/>
        </w:tabs>
        <w:spacing w:line="360" w:lineRule="auto"/>
        <w:ind w:firstLine="560"/>
        <w:rPr>
          <w:rFonts w:hint="eastAsia" w:ascii="宋体" w:hAnsi="宋体"/>
          <w:color w:val="000000"/>
          <w:sz w:val="28"/>
          <w:szCs w:val="28"/>
        </w:rPr>
      </w:pPr>
      <w:r>
        <w:rPr>
          <w:rFonts w:hint="eastAsia" w:ascii="宋体" w:hAnsi="宋体"/>
          <w:color w:val="000000"/>
          <w:sz w:val="28"/>
          <w:szCs w:val="28"/>
        </w:rPr>
        <w:t>（1）乙方逾期支付或不足额支付租金、管理费、水电费超过1个月的；</w:t>
      </w:r>
    </w:p>
    <w:p w14:paraId="5BB8E48B">
      <w:pPr>
        <w:tabs>
          <w:tab w:val="left" w:pos="535"/>
        </w:tabs>
        <w:spacing w:line="360" w:lineRule="auto"/>
        <w:ind w:firstLine="560"/>
        <w:rPr>
          <w:rFonts w:hint="eastAsia" w:ascii="宋体" w:hAnsi="宋体"/>
          <w:color w:val="000000"/>
          <w:sz w:val="28"/>
          <w:szCs w:val="28"/>
        </w:rPr>
      </w:pPr>
      <w:r>
        <w:rPr>
          <w:rFonts w:hint="eastAsia" w:ascii="宋体" w:hAnsi="宋体"/>
          <w:color w:val="000000"/>
          <w:sz w:val="28"/>
          <w:szCs w:val="28"/>
        </w:rPr>
        <w:t>（2）乙方违反合同第六条的约定，经甲方提出后超过15日仍未纠正的；</w:t>
      </w:r>
    </w:p>
    <w:p w14:paraId="19F74E15">
      <w:pPr>
        <w:spacing w:line="360" w:lineRule="auto"/>
        <w:ind w:firstLine="560"/>
        <w:rPr>
          <w:rFonts w:hint="eastAsia" w:ascii="宋体" w:hAnsi="宋体"/>
          <w:color w:val="000000"/>
          <w:sz w:val="28"/>
          <w:szCs w:val="28"/>
        </w:rPr>
      </w:pPr>
      <w:r>
        <w:rPr>
          <w:rFonts w:hint="eastAsia" w:ascii="宋体" w:hAnsi="宋体"/>
          <w:color w:val="000000"/>
          <w:sz w:val="28"/>
          <w:szCs w:val="28"/>
        </w:rPr>
        <w:t>（3）法律、法规规定的可解除合同的其他情形。</w:t>
      </w:r>
    </w:p>
    <w:p w14:paraId="127A2CCD">
      <w:pPr>
        <w:tabs>
          <w:tab w:val="left" w:pos="580"/>
        </w:tabs>
        <w:spacing w:line="360" w:lineRule="auto"/>
        <w:ind w:firstLine="560"/>
        <w:rPr>
          <w:rFonts w:hint="eastAsia" w:ascii="宋体" w:hAnsi="宋体"/>
          <w:color w:val="000000"/>
          <w:sz w:val="28"/>
          <w:szCs w:val="28"/>
        </w:rPr>
      </w:pPr>
      <w:r>
        <w:rPr>
          <w:rFonts w:hint="eastAsia" w:ascii="宋体" w:hAnsi="宋体"/>
          <w:color w:val="000000"/>
          <w:sz w:val="28"/>
          <w:szCs w:val="28"/>
        </w:rPr>
        <w:t>6、租赁期满、合同终止或合同解除之日，双方应共同检查、交接物业，由乙方将物业（包括物业主体、物业原有的以及乙方承租后投资所形成的、附着于物业不可拆除或虽可拆除但拆除后影响物业正常使用的设施、设备，包括但不限于物业内、外装修、物业增建部分、水电设施、消防设备、电梯、空调设备等）无偿移交甲方；如物业有损坏的，甲方有权向乙方提出索赔。</w:t>
      </w:r>
    </w:p>
    <w:p w14:paraId="74D16980">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九、违约责任</w:t>
      </w:r>
    </w:p>
    <w:p w14:paraId="48EBA670">
      <w:pPr>
        <w:spacing w:line="360" w:lineRule="auto"/>
        <w:ind w:firstLine="645"/>
        <w:rPr>
          <w:rFonts w:ascii="宋体" w:hAnsi="宋体"/>
          <w:color w:val="000000"/>
          <w:sz w:val="28"/>
          <w:szCs w:val="28"/>
        </w:rPr>
      </w:pPr>
      <w:r>
        <w:rPr>
          <w:rFonts w:hint="eastAsia" w:ascii="宋体" w:hAnsi="宋体"/>
          <w:color w:val="000000"/>
          <w:sz w:val="28"/>
          <w:szCs w:val="28"/>
        </w:rPr>
        <w:t>1、如乙方迟延支付租金，导致甲方跨月才收到上月/期租金的，乙方须从跨月的第一天起至实际交付租金之日按欠缴租金1‰/天的标准向甲方交纳违约金。</w:t>
      </w:r>
    </w:p>
    <w:p w14:paraId="17A6C14A">
      <w:pPr>
        <w:tabs>
          <w:tab w:val="left" w:pos="567"/>
        </w:tabs>
        <w:spacing w:line="360" w:lineRule="auto"/>
        <w:ind w:firstLine="548"/>
        <w:jc w:val="left"/>
        <w:rPr>
          <w:rFonts w:hint="eastAsia" w:ascii="宋体" w:hAnsi="宋体" w:cs="Arial"/>
          <w:color w:val="000000"/>
          <w:sz w:val="28"/>
          <w:szCs w:val="28"/>
        </w:rPr>
      </w:pPr>
      <w:r>
        <w:rPr>
          <w:rFonts w:hint="eastAsia" w:ascii="宋体" w:hAnsi="宋体"/>
          <w:color w:val="000000"/>
          <w:sz w:val="28"/>
          <w:szCs w:val="28"/>
        </w:rPr>
        <w:t>甲方对乙方欠付租金的违约行为，还可采取以下</w:t>
      </w:r>
      <w:r>
        <w:rPr>
          <w:rFonts w:hint="eastAsia" w:ascii="宋体" w:hAnsi="宋体" w:cs="Arial"/>
          <w:color w:val="000000"/>
          <w:sz w:val="28"/>
          <w:szCs w:val="28"/>
        </w:rPr>
        <w:t>措施：</w:t>
      </w:r>
    </w:p>
    <w:p w14:paraId="01EB4808">
      <w:pPr>
        <w:tabs>
          <w:tab w:val="left" w:pos="567"/>
        </w:tabs>
        <w:spacing w:line="360" w:lineRule="auto"/>
        <w:ind w:firstLine="560"/>
        <w:jc w:val="left"/>
        <w:rPr>
          <w:rFonts w:hint="eastAsia" w:ascii="宋体" w:hAnsi="宋体" w:cs="Arial"/>
          <w:color w:val="000000"/>
          <w:sz w:val="28"/>
          <w:szCs w:val="28"/>
          <w:u w:val="single"/>
        </w:rPr>
      </w:pPr>
      <w:r>
        <w:rPr>
          <w:rFonts w:hint="eastAsia" w:ascii="宋体" w:hAnsi="宋体"/>
          <w:color w:val="000000"/>
          <w:sz w:val="28"/>
          <w:szCs w:val="28"/>
        </w:rPr>
        <w:t>乙方逾期支付租金、管理费、水电费超过1个月的，有权即时解除合同，收回物业。</w:t>
      </w:r>
    </w:p>
    <w:p w14:paraId="49642079">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2、合同期内，如甲方提前终止合同，应征得乙方同意；如因乙方自身原因提前终止合同或因乙方过错导致合同被解除，则所支付的保证金归甲方所有。</w:t>
      </w:r>
    </w:p>
    <w:p w14:paraId="66F4A68F">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十、乙方违约时，甲方解除合同的特别约定</w:t>
      </w:r>
    </w:p>
    <w:p w14:paraId="0A657131">
      <w:pPr>
        <w:spacing w:line="360" w:lineRule="auto"/>
        <w:ind w:firstLine="560"/>
        <w:jc w:val="left"/>
        <w:rPr>
          <w:rFonts w:hint="eastAsia" w:ascii="宋体" w:hAnsi="宋体"/>
          <w:color w:val="000000"/>
          <w:sz w:val="28"/>
          <w:szCs w:val="28"/>
          <w:u w:val="single"/>
        </w:rPr>
      </w:pPr>
      <w:r>
        <w:rPr>
          <w:rFonts w:hint="eastAsia" w:ascii="宋体" w:hAnsi="宋体"/>
          <w:color w:val="000000"/>
          <w:sz w:val="28"/>
          <w:szCs w:val="28"/>
        </w:rPr>
        <w:t>1、甲方通过特快专递向乙方送达解除合同通知，解除合同通知自投递之日起</w:t>
      </w:r>
      <w:r>
        <w:rPr>
          <w:rFonts w:hint="eastAsia" w:ascii="宋体" w:hAnsi="宋体"/>
          <w:color w:val="000000"/>
          <w:sz w:val="28"/>
          <w:szCs w:val="28"/>
          <w:u w:val="single"/>
        </w:rPr>
        <w:t>3</w:t>
      </w:r>
      <w:r>
        <w:rPr>
          <w:rFonts w:hint="eastAsia" w:ascii="宋体" w:hAnsi="宋体"/>
          <w:color w:val="000000"/>
          <w:sz w:val="28"/>
          <w:szCs w:val="28"/>
        </w:rPr>
        <w:t>日届满即视为送达，合同即告解除。乙方的文书送达和联系地址 ：</w:t>
      </w:r>
      <w:r>
        <w:rPr>
          <w:rFonts w:hint="eastAsia" w:ascii="宋体" w:hAnsi="宋体"/>
          <w:color w:val="000000"/>
          <w:sz w:val="28"/>
          <w:szCs w:val="28"/>
          <w:u w:val="single"/>
        </w:rPr>
        <w:t>广州市天河区</w:t>
      </w:r>
      <w:r>
        <w:rPr>
          <w:rFonts w:hint="eastAsia" w:ascii="宋体" w:hAnsi="宋体"/>
          <w:color w:val="000000"/>
          <w:sz w:val="28"/>
          <w:szCs w:val="28"/>
          <w:u w:val="single"/>
          <w:lang w:val="en-US" w:eastAsia="zh-CN"/>
        </w:rPr>
        <w:t xml:space="preserve">                             ，联系人：       ，联系电话：        ；邮箱：              </w:t>
      </w:r>
      <w:r>
        <w:rPr>
          <w:rFonts w:hint="eastAsia" w:ascii="宋体" w:hAnsi="宋体"/>
          <w:color w:val="000000"/>
          <w:sz w:val="28"/>
          <w:szCs w:val="28"/>
          <w:u w:val="single"/>
        </w:rPr>
        <w:t>。</w:t>
      </w:r>
    </w:p>
    <w:p w14:paraId="03FBD78D">
      <w:pPr>
        <w:spacing w:line="360" w:lineRule="auto"/>
        <w:ind w:firstLine="560"/>
        <w:rPr>
          <w:rFonts w:hint="eastAsia" w:ascii="宋体" w:hAnsi="宋体"/>
          <w:color w:val="000000"/>
          <w:sz w:val="28"/>
          <w:szCs w:val="28"/>
        </w:rPr>
      </w:pPr>
      <w:r>
        <w:rPr>
          <w:rFonts w:hint="eastAsia" w:ascii="宋体" w:hAnsi="宋体"/>
          <w:color w:val="000000"/>
          <w:sz w:val="28"/>
          <w:szCs w:val="28"/>
        </w:rPr>
        <w:t>2、乙方应于合同解除之日次日内搬走其家私杂物，并将物业及其附属设施、设备完好移交给甲方，否则甲方有权收回物业</w:t>
      </w:r>
      <w:r>
        <w:rPr>
          <w:rFonts w:hint="eastAsia" w:ascii="宋体" w:hAnsi="宋体"/>
          <w:b/>
          <w:color w:val="000000"/>
          <w:sz w:val="28"/>
          <w:szCs w:val="28"/>
        </w:rPr>
        <w:t>，</w:t>
      </w:r>
      <w:r>
        <w:rPr>
          <w:rFonts w:hint="eastAsia" w:ascii="宋体" w:hAnsi="宋体"/>
          <w:color w:val="000000"/>
          <w:sz w:val="28"/>
          <w:szCs w:val="28"/>
        </w:rPr>
        <w:t>并处置物业内的一切物品。甲方因清理乙方遗留物品而发生的费用有权向乙方追偿。乙方提前解除合同及合同期满后的处理亦按本款执行。</w:t>
      </w:r>
    </w:p>
    <w:p w14:paraId="1D8ABC0E">
      <w:pPr>
        <w:spacing w:line="360" w:lineRule="auto"/>
        <w:ind w:firstLine="560"/>
        <w:jc w:val="left"/>
        <w:rPr>
          <w:rFonts w:hint="eastAsia" w:ascii="宋体" w:hAnsi="宋体"/>
          <w:color w:val="000000"/>
          <w:sz w:val="28"/>
          <w:szCs w:val="28"/>
        </w:rPr>
      </w:pPr>
      <w:r>
        <w:rPr>
          <w:rFonts w:hint="eastAsia" w:ascii="宋体" w:hAnsi="宋体"/>
          <w:color w:val="000000"/>
          <w:sz w:val="28"/>
          <w:szCs w:val="28"/>
        </w:rPr>
        <w:t>十一、本合同履行中发生争议，双方应协商解决，协商不能达成一致意见的，任何一方可依法向</w:t>
      </w:r>
      <w:r>
        <w:rPr>
          <w:rFonts w:hint="eastAsia" w:ascii="宋体" w:hAnsi="宋体"/>
          <w:color w:val="000000"/>
          <w:sz w:val="28"/>
          <w:szCs w:val="28"/>
          <w:lang w:val="en-US" w:eastAsia="zh-CN"/>
        </w:rPr>
        <w:t>甲方所在地</w:t>
      </w:r>
      <w:r>
        <w:rPr>
          <w:rFonts w:hint="eastAsia" w:ascii="宋体" w:hAnsi="宋体"/>
          <w:color w:val="000000"/>
          <w:sz w:val="28"/>
          <w:szCs w:val="28"/>
        </w:rPr>
        <w:t>的人民法院提起诉讼。</w:t>
      </w:r>
    </w:p>
    <w:p w14:paraId="18D6A934">
      <w:pPr>
        <w:tabs>
          <w:tab w:val="left" w:pos="540"/>
        </w:tabs>
        <w:spacing w:line="360" w:lineRule="auto"/>
        <w:ind w:firstLine="560"/>
        <w:rPr>
          <w:rFonts w:hint="eastAsia" w:ascii="宋体" w:hAnsi="宋体"/>
          <w:color w:val="000000"/>
          <w:sz w:val="28"/>
          <w:szCs w:val="28"/>
        </w:rPr>
      </w:pPr>
      <w:r>
        <w:rPr>
          <w:rFonts w:hint="eastAsia" w:ascii="宋体" w:hAnsi="宋体"/>
          <w:color w:val="000000"/>
          <w:sz w:val="28"/>
          <w:szCs w:val="28"/>
        </w:rPr>
        <w:t>十二、由于地震、台风、水灾、火灾、战争、政府政策行为或其他不能预见、不能避免并不能克服的客观情况即不可抗力原因，致使一方不能按约定履行合同时，应立即书面通知对方，并应在15天内提供不可抗力的详细情况以及合同全部不能履行、部分不能履行或需要延期履行的理由。</w:t>
      </w:r>
    </w:p>
    <w:p w14:paraId="326F2D82">
      <w:pPr>
        <w:spacing w:line="360" w:lineRule="auto"/>
        <w:ind w:firstLine="560"/>
        <w:jc w:val="left"/>
        <w:rPr>
          <w:rFonts w:hint="eastAsia" w:ascii="宋体" w:hAnsi="宋体"/>
          <w:color w:val="000000"/>
          <w:sz w:val="28"/>
          <w:szCs w:val="28"/>
        </w:rPr>
      </w:pPr>
      <w:r>
        <w:rPr>
          <w:rFonts w:hint="eastAsia"/>
          <w:color w:val="000000"/>
          <w:sz w:val="28"/>
          <w:szCs w:val="28"/>
        </w:rPr>
        <w:t>十三、合同未尽事项，双方可另行议定并签订补充协议，补充协议与合同具有同等法律效力。</w:t>
      </w:r>
    </w:p>
    <w:p w14:paraId="0ADB3A1B">
      <w:pPr>
        <w:pStyle w:val="182"/>
        <w:spacing w:line="360" w:lineRule="auto"/>
        <w:ind w:firstLine="560"/>
        <w:rPr>
          <w:rFonts w:hint="eastAsia" w:ascii="宋体" w:hAnsi="宋体"/>
          <w:color w:val="000000"/>
          <w:sz w:val="28"/>
          <w:szCs w:val="28"/>
        </w:rPr>
      </w:pPr>
      <w:r>
        <w:rPr>
          <w:rFonts w:hint="eastAsia" w:ascii="宋体" w:hAnsi="宋体"/>
          <w:color w:val="000000"/>
          <w:sz w:val="28"/>
          <w:szCs w:val="28"/>
        </w:rPr>
        <w:t xml:space="preserve">十四、双方约定的其他事项： </w:t>
      </w:r>
    </w:p>
    <w:p w14:paraId="74DA3CA1">
      <w:pPr>
        <w:spacing w:line="360" w:lineRule="auto"/>
        <w:ind w:firstLine="560"/>
        <w:jc w:val="left"/>
        <w:rPr>
          <w:rFonts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甲方不保证物业现有消防设施（含消防通道、消防栓、消防用水等）符合现时消防规定，也不保证乙方能取得物业消防合格证及营业执照等证照，乙方须自行评估出租物业现状设施条件是否具备改造可行性，且消防设施整改、投入工程及费用等均由乙方负责，乙方须按《中华人民共和国消防法》及相关法律法规完善物业的消防申报手续，且必须在取得公安消防部门出具的消防验收合格文件或办妥一切消防安全的相关手续后方可开业，乙方应自行承担因此可能造成的包括但不限于无法办理营业执照等相关证照的障碍或风险，不得以此为由主张解除租赁合同或者拒付租金或者向甲方主张任何权利。</w:t>
      </w:r>
    </w:p>
    <w:p w14:paraId="748E0420">
      <w:pPr>
        <w:spacing w:line="360" w:lineRule="auto"/>
        <w:ind w:firstLine="560"/>
        <w:jc w:val="left"/>
        <w:rPr>
          <w:rFonts w:hint="eastAsia" w:ascii="宋体" w:hAnsi="宋体" w:eastAsia="宋体" w:cs="宋体"/>
          <w:color w:val="000000"/>
          <w:sz w:val="28"/>
          <w:szCs w:val="28"/>
          <w:lang w:val="en-US" w:eastAsia="zh-CN"/>
        </w:rPr>
      </w:pPr>
      <w:r>
        <w:rPr>
          <w:rFonts w:ascii="宋体" w:hAnsi="宋体" w:eastAsia="宋体" w:cs="宋体"/>
          <w:color w:val="000000"/>
          <w:sz w:val="28"/>
          <w:szCs w:val="28"/>
          <w:lang w:val="en-US" w:eastAsia="zh-CN"/>
        </w:rPr>
        <w:t>2</w:t>
      </w:r>
      <w:r>
        <w:rPr>
          <w:rFonts w:hint="eastAsia" w:ascii="宋体" w:hAnsi="宋体" w:eastAsia="宋体" w:cs="宋体"/>
          <w:color w:val="000000"/>
          <w:sz w:val="28"/>
          <w:szCs w:val="28"/>
          <w:lang w:val="en-US" w:eastAsia="zh-CN"/>
        </w:rPr>
        <w:t>、该物业证载规划用途为邮电所，乙方须自行评估物业产权登记情况、证载用途、城市规划房屋用途及租赁用途是否满足需求，并自行承担所有费用及因此可能造成的包括但不限于无法办理营业执照、行业许可证等相关证照、消防报备等手续的障碍或风险，不得以此为由主张解除租赁合同或者拒付租金或者向甲方主张任何权利。</w:t>
      </w:r>
    </w:p>
    <w:p w14:paraId="0E545206">
      <w:pPr>
        <w:spacing w:line="360" w:lineRule="auto"/>
        <w:ind w:firstLine="560"/>
        <w:jc w:val="lef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3、如因乙方原因需变更本合同主体，乙方需书面向甲方提出申请，经甲方同意后，双方签订变更主体协议，乙方须交纳更名手续费2000元。</w:t>
      </w:r>
    </w:p>
    <w:p w14:paraId="631E6331">
      <w:pPr>
        <w:spacing w:line="360" w:lineRule="auto"/>
        <w:ind w:firstLine="560"/>
        <w:jc w:val="left"/>
        <w:rPr>
          <w:rFonts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4、因甲方追究乙方违约责任所造成的一切费用由乙方承担（包括但不限于：诉讼费、律师费、保全费、公证费、鉴定费等因追责产生的一切费用）。</w:t>
      </w:r>
      <w:r>
        <w:rPr>
          <w:rFonts w:ascii="宋体" w:hAnsi="宋体" w:eastAsia="宋体" w:cs="宋体"/>
          <w:color w:val="000000"/>
          <w:sz w:val="28"/>
          <w:szCs w:val="28"/>
          <w:lang w:val="en-US" w:eastAsia="zh-CN"/>
        </w:rPr>
        <w:t xml:space="preserve">   </w:t>
      </w:r>
    </w:p>
    <w:p w14:paraId="59449421">
      <w:pPr>
        <w:spacing w:line="360" w:lineRule="auto"/>
        <w:ind w:firstLine="560"/>
        <w:jc w:val="left"/>
        <w:rPr>
          <w:rFonts w:hint="eastAsia" w:ascii="宋体" w:hAnsi="宋体"/>
          <w:color w:val="000000"/>
          <w:sz w:val="28"/>
          <w:szCs w:val="28"/>
        </w:rPr>
      </w:pPr>
      <w:r>
        <w:rPr>
          <w:rFonts w:ascii="宋体" w:hAnsi="宋体" w:eastAsia="宋体" w:cs="宋体"/>
          <w:color w:val="000000"/>
          <w:sz w:val="28"/>
          <w:szCs w:val="28"/>
          <w:lang w:val="en-US" w:eastAsia="zh-CN"/>
        </w:rPr>
        <w:t xml:space="preserve"> </w:t>
      </w:r>
      <w:r>
        <w:rPr>
          <w:rFonts w:hint="eastAsia" w:ascii="宋体" w:hAnsi="宋体"/>
          <w:color w:val="000000"/>
          <w:sz w:val="28"/>
          <w:szCs w:val="28"/>
        </w:rPr>
        <w:t>十五、本合同一式四份，甲、乙方各执二份，自双方签订之日起生效。</w:t>
      </w:r>
    </w:p>
    <w:p w14:paraId="668001D0">
      <w:pPr>
        <w:spacing w:line="360" w:lineRule="auto"/>
        <w:ind w:right="-823"/>
        <w:jc w:val="left"/>
        <w:rPr>
          <w:rFonts w:hint="eastAsia" w:ascii="宋体" w:hAnsi="宋体"/>
          <w:color w:val="000000"/>
          <w:sz w:val="28"/>
          <w:szCs w:val="28"/>
          <w:lang w:eastAsia="zh-CN"/>
        </w:rPr>
      </w:pPr>
    </w:p>
    <w:p w14:paraId="3BC54DCA">
      <w:pPr>
        <w:spacing w:line="360" w:lineRule="auto"/>
        <w:ind w:right="-823"/>
        <w:jc w:val="left"/>
        <w:rPr>
          <w:rFonts w:hint="eastAsia" w:ascii="宋体" w:hAnsi="宋体"/>
          <w:color w:val="000000"/>
          <w:sz w:val="28"/>
          <w:szCs w:val="28"/>
        </w:rPr>
      </w:pPr>
    </w:p>
    <w:p w14:paraId="7ED536BB">
      <w:pPr>
        <w:spacing w:line="360" w:lineRule="auto"/>
        <w:ind w:right="-823"/>
        <w:jc w:val="left"/>
        <w:rPr>
          <w:rFonts w:hint="eastAsia" w:ascii="宋体" w:hAnsi="宋体"/>
          <w:color w:val="000000"/>
          <w:sz w:val="28"/>
          <w:szCs w:val="28"/>
        </w:rPr>
      </w:pPr>
    </w:p>
    <w:p w14:paraId="07B254DE">
      <w:pPr>
        <w:spacing w:line="360" w:lineRule="auto"/>
        <w:ind w:right="-823"/>
        <w:jc w:val="left"/>
        <w:rPr>
          <w:rFonts w:hint="eastAsia" w:ascii="宋体" w:hAnsi="宋体"/>
          <w:sz w:val="28"/>
          <w:szCs w:val="28"/>
        </w:rPr>
      </w:pPr>
      <w:r>
        <w:rPr>
          <w:rFonts w:hint="eastAsia" w:ascii="宋体" w:hAnsi="宋体"/>
          <w:sz w:val="28"/>
          <w:szCs w:val="28"/>
        </w:rPr>
        <w:t>甲  方：广州市天河投资</w:t>
      </w:r>
      <w:r>
        <w:rPr>
          <w:rFonts w:hint="eastAsia" w:ascii="宋体" w:hAnsi="宋体"/>
          <w:sz w:val="28"/>
          <w:szCs w:val="28"/>
          <w:lang w:val="en-US" w:eastAsia="zh-CN"/>
        </w:rPr>
        <w:t>集团</w:t>
      </w:r>
      <w:r>
        <w:rPr>
          <w:rFonts w:hint="eastAsia" w:ascii="宋体" w:hAnsi="宋体"/>
          <w:sz w:val="28"/>
          <w:szCs w:val="28"/>
        </w:rPr>
        <w:t>有限公司</w:t>
      </w:r>
    </w:p>
    <w:p w14:paraId="209DD68D">
      <w:pPr>
        <w:spacing w:line="360" w:lineRule="auto"/>
        <w:jc w:val="left"/>
        <w:rPr>
          <w:rFonts w:hint="eastAsia" w:ascii="宋体" w:hAnsi="宋体"/>
          <w:sz w:val="28"/>
          <w:szCs w:val="28"/>
        </w:rPr>
      </w:pPr>
      <w:r>
        <w:rPr>
          <w:rFonts w:hint="eastAsia" w:ascii="宋体" w:hAnsi="宋体"/>
          <w:sz w:val="28"/>
          <w:szCs w:val="28"/>
        </w:rPr>
        <w:t>代  表：</w:t>
      </w:r>
    </w:p>
    <w:p w14:paraId="78969145">
      <w:pPr>
        <w:spacing w:line="360" w:lineRule="auto"/>
        <w:jc w:val="left"/>
        <w:rPr>
          <w:rFonts w:hint="eastAsia" w:ascii="宋体" w:hAnsi="宋体"/>
          <w:sz w:val="28"/>
          <w:szCs w:val="28"/>
        </w:rPr>
      </w:pPr>
      <w:r>
        <w:rPr>
          <w:rFonts w:hint="eastAsia" w:ascii="宋体" w:hAnsi="宋体"/>
          <w:sz w:val="28"/>
          <w:szCs w:val="28"/>
        </w:rPr>
        <w:t>经手人：</w:t>
      </w:r>
    </w:p>
    <w:p w14:paraId="0CF9D593">
      <w:pPr>
        <w:spacing w:line="360" w:lineRule="auto"/>
        <w:ind w:right="-823"/>
        <w:jc w:val="left"/>
        <w:rPr>
          <w:rFonts w:hint="eastAsia" w:ascii="宋体" w:hAnsi="宋体"/>
          <w:sz w:val="28"/>
          <w:szCs w:val="28"/>
        </w:rPr>
      </w:pPr>
    </w:p>
    <w:p w14:paraId="568294B6">
      <w:pPr>
        <w:spacing w:line="360" w:lineRule="auto"/>
        <w:ind w:right="-823"/>
        <w:jc w:val="left"/>
        <w:rPr>
          <w:rFonts w:hint="eastAsia" w:ascii="宋体" w:hAnsi="宋体"/>
          <w:sz w:val="28"/>
          <w:szCs w:val="28"/>
        </w:rPr>
      </w:pPr>
    </w:p>
    <w:p w14:paraId="7F963BA2">
      <w:pPr>
        <w:spacing w:line="360" w:lineRule="auto"/>
        <w:ind w:right="-823"/>
        <w:jc w:val="left"/>
        <w:rPr>
          <w:rFonts w:hint="eastAsia" w:ascii="宋体" w:hAnsi="宋体"/>
          <w:sz w:val="28"/>
          <w:szCs w:val="28"/>
        </w:rPr>
      </w:pPr>
      <w:r>
        <w:rPr>
          <w:rFonts w:hint="eastAsia" w:ascii="宋体" w:hAnsi="宋体"/>
          <w:sz w:val="28"/>
          <w:szCs w:val="28"/>
        </w:rPr>
        <w:t xml:space="preserve">乙 </w:t>
      </w:r>
      <w:r>
        <w:rPr>
          <w:rFonts w:hint="eastAsia" w:ascii="宋体" w:hAnsi="宋体"/>
          <w:sz w:val="28"/>
          <w:szCs w:val="28"/>
          <w:lang w:val="en-US" w:eastAsia="zh-CN"/>
        </w:rPr>
        <w:t xml:space="preserve"> </w:t>
      </w:r>
      <w:r>
        <w:rPr>
          <w:rFonts w:hint="eastAsia" w:ascii="宋体" w:hAnsi="宋体"/>
          <w:sz w:val="28"/>
          <w:szCs w:val="28"/>
        </w:rPr>
        <w:t>方：</w:t>
      </w:r>
    </w:p>
    <w:p w14:paraId="733DE23C">
      <w:pPr>
        <w:spacing w:line="360" w:lineRule="auto"/>
        <w:ind w:right="-823"/>
        <w:jc w:val="left"/>
        <w:rPr>
          <w:rFonts w:hint="eastAsia" w:ascii="宋体" w:hAnsi="宋体"/>
          <w:sz w:val="28"/>
          <w:szCs w:val="28"/>
        </w:rPr>
      </w:pPr>
      <w:r>
        <w:rPr>
          <w:rFonts w:hint="eastAsia" w:ascii="宋体" w:hAnsi="宋体"/>
          <w:sz w:val="28"/>
          <w:szCs w:val="28"/>
        </w:rPr>
        <w:t xml:space="preserve">代 </w:t>
      </w:r>
      <w:r>
        <w:rPr>
          <w:rFonts w:hint="eastAsia" w:ascii="宋体" w:hAnsi="宋体"/>
          <w:sz w:val="28"/>
          <w:szCs w:val="28"/>
          <w:lang w:val="en-US" w:eastAsia="zh-CN"/>
        </w:rPr>
        <w:t xml:space="preserve"> </w:t>
      </w:r>
      <w:r>
        <w:rPr>
          <w:rFonts w:hint="eastAsia" w:ascii="宋体" w:hAnsi="宋体"/>
          <w:sz w:val="28"/>
          <w:szCs w:val="28"/>
        </w:rPr>
        <w:t>表：</w:t>
      </w:r>
    </w:p>
    <w:p w14:paraId="5B7CEDF8">
      <w:pPr>
        <w:spacing w:line="360" w:lineRule="auto"/>
        <w:ind w:right="-823"/>
        <w:jc w:val="left"/>
        <w:rPr>
          <w:rFonts w:hint="eastAsia" w:ascii="宋体" w:hAnsi="宋体"/>
          <w:sz w:val="28"/>
          <w:szCs w:val="28"/>
        </w:rPr>
      </w:pPr>
      <w:r>
        <w:rPr>
          <w:rFonts w:hint="eastAsia" w:ascii="宋体" w:hAnsi="宋体"/>
          <w:sz w:val="28"/>
          <w:szCs w:val="28"/>
        </w:rPr>
        <w:t xml:space="preserve">电 </w:t>
      </w:r>
      <w:r>
        <w:rPr>
          <w:rFonts w:hint="eastAsia" w:ascii="宋体" w:hAnsi="宋体"/>
          <w:sz w:val="28"/>
          <w:szCs w:val="28"/>
          <w:lang w:val="en-US" w:eastAsia="zh-CN"/>
        </w:rPr>
        <w:t xml:space="preserve"> </w:t>
      </w:r>
      <w:r>
        <w:rPr>
          <w:rFonts w:hint="eastAsia" w:ascii="宋体" w:hAnsi="宋体"/>
          <w:sz w:val="28"/>
          <w:szCs w:val="28"/>
        </w:rPr>
        <w:t>话：</w:t>
      </w:r>
    </w:p>
    <w:p w14:paraId="136F5EFD">
      <w:pPr>
        <w:spacing w:line="360" w:lineRule="auto"/>
        <w:ind w:firstLine="2660"/>
        <w:jc w:val="left"/>
        <w:rPr>
          <w:rFonts w:hint="eastAsia" w:ascii="宋体" w:hAnsi="宋体"/>
          <w:sz w:val="28"/>
          <w:szCs w:val="28"/>
        </w:rPr>
      </w:pPr>
    </w:p>
    <w:p w14:paraId="08AE733F">
      <w:pPr>
        <w:spacing w:line="360" w:lineRule="auto"/>
        <w:ind w:firstLine="2660"/>
        <w:jc w:val="left"/>
        <w:rPr>
          <w:rFonts w:hint="eastAsia" w:ascii="宋体" w:hAnsi="宋体"/>
          <w:sz w:val="28"/>
          <w:szCs w:val="28"/>
        </w:rPr>
      </w:pPr>
    </w:p>
    <w:p w14:paraId="51752CBA">
      <w:pPr>
        <w:spacing w:line="360" w:lineRule="auto"/>
        <w:ind w:firstLine="4060"/>
        <w:jc w:val="left"/>
        <w:rPr>
          <w:rFonts w:hint="eastAsia" w:ascii="宋体" w:hAnsi="宋体"/>
          <w:sz w:val="28"/>
          <w:szCs w:val="28"/>
        </w:rPr>
      </w:pPr>
      <w:r>
        <w:rPr>
          <w:rFonts w:hint="eastAsia" w:ascii="宋体" w:hAnsi="宋体"/>
          <w:sz w:val="28"/>
          <w:szCs w:val="28"/>
        </w:rPr>
        <w:t>签订地点：广州市天河区</w:t>
      </w:r>
    </w:p>
    <w:p w14:paraId="3EC543D1">
      <w:pPr>
        <w:spacing w:line="360" w:lineRule="auto"/>
        <w:ind w:firstLine="4060"/>
        <w:jc w:val="left"/>
        <w:rPr>
          <w:rFonts w:hint="eastAsia" w:ascii="宋体" w:hAnsi="宋体"/>
          <w:sz w:val="28"/>
          <w:szCs w:val="28"/>
        </w:rPr>
      </w:pPr>
      <w:r>
        <w:rPr>
          <w:rFonts w:hint="eastAsia" w:ascii="宋体" w:hAnsi="宋体"/>
          <w:sz w:val="28"/>
          <w:szCs w:val="28"/>
        </w:rPr>
        <w:t>签订日期：</w:t>
      </w:r>
      <w:r>
        <w:rPr>
          <w:rFonts w:hint="eastAsia" w:ascii="宋体" w:hAnsi="宋体"/>
          <w:sz w:val="28"/>
          <w:szCs w:val="28"/>
          <w:lang w:val="en-US" w:eastAsia="zh-CN"/>
        </w:rPr>
        <w:t xml:space="preserve">     </w:t>
      </w:r>
      <w:r>
        <w:rPr>
          <w:rFonts w:hint="eastAsia" w:ascii="宋体" w:hAnsi="宋体"/>
          <w:sz w:val="28"/>
          <w:szCs w:val="28"/>
        </w:rPr>
        <w:t>年  月   日</w:t>
      </w:r>
    </w:p>
    <w:sectPr>
      <w:headerReference r:id="rId3" w:type="default"/>
      <w:footerReference r:id="rId4" w:type="default"/>
      <w:pgSz w:w="11906" w:h="16838"/>
      <w:pgMar w:top="1134" w:right="1644" w:bottom="1077" w:left="1644" w:header="851" w:footer="77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CD915">
    <w:pPr>
      <w:pStyle w:val="184"/>
      <w:jc w:val="center"/>
    </w:pPr>
    <w:r>
      <w:fldChar w:fldCharType="begin"/>
    </w:r>
    <w:r>
      <w:instrText xml:space="preserve">PAGE   \* MERGEFORMAT</w:instrText>
    </w:r>
    <w:r>
      <w:fldChar w:fldCharType="separate"/>
    </w:r>
    <w:r>
      <w:rPr>
        <w:lang w:val="zh-CN"/>
      </w:rPr>
      <w:t>7</w:t>
    </w:r>
    <w:r>
      <w:fldChar w:fldCharType="end"/>
    </w:r>
  </w:p>
  <w:p w14:paraId="2ADDCB84">
    <w:pPr>
      <w:pStyle w:val="18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C7703">
    <w:pPr>
      <w:pStyle w:val="186"/>
      <w:jc w:val="both"/>
      <w:rPr>
        <w:rFonts w:hint="eastAsia"/>
        <w:sz w:val="28"/>
        <w:szCs w:val="28"/>
      </w:rPr>
    </w:pPr>
    <w:r>
      <w:drawing>
        <wp:inline distT="0" distB="0" distL="0" distR="0">
          <wp:extent cx="381000" cy="314960"/>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1" name="_x0000_i1026"/>
                  <pic:cNvPicPr/>
                </pic:nvPicPr>
                <pic:blipFill>
                  <a:blip r:embed="rId1"/>
                  <a:stretch>
                    <a:fillRect/>
                  </a:stretch>
                </pic:blipFill>
                <pic:spPr>
                  <a:xfrm>
                    <a:off x="0" y="0"/>
                    <a:ext cx="381479" cy="315070"/>
                  </a:xfrm>
                  <a:prstGeom prst="rect">
                    <a:avLst/>
                  </a:prstGeom>
                  <a:noFill/>
                  <a:ln>
                    <a:noFill/>
                  </a:ln>
                </pic:spPr>
              </pic:pic>
            </a:graphicData>
          </a:graphic>
        </wp:inline>
      </w:drawing>
    </w:r>
    <w:r>
      <w:rPr>
        <w:rFonts w:hint="eastAsia"/>
      </w:rPr>
      <w:t xml:space="preserve"> 广州市天河投资</w:t>
    </w:r>
    <w:r>
      <w:rPr>
        <w:rFonts w:hint="eastAsia"/>
        <w:lang w:val="en-US" w:eastAsia="zh-CN"/>
      </w:rPr>
      <w:t>集团</w:t>
    </w:r>
    <w:r>
      <w:rPr>
        <w:rFonts w:hint="eastAsia"/>
      </w:rPr>
      <w:t xml:space="preserve">有限公司                                           </w:t>
    </w:r>
    <w:r>
      <w:rPr>
        <w:rFonts w:hint="eastAsia"/>
        <w:lang w:val="en-US" w:eastAsia="zh-CN"/>
      </w:rPr>
      <w:t xml:space="preserve">      </w:t>
    </w:r>
    <w:r>
      <w:rPr>
        <w:rFonts w:hint="eastAsia"/>
      </w:rPr>
      <w:t xml:space="preserve">   租赁合同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F04ED7"/>
    <w:rsid w:val="4C6272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89"/>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basedOn w:val="1"/>
    <w:next w:val="1"/>
    <w:link w:val="153"/>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54"/>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55"/>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56"/>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57"/>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58"/>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59"/>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0"/>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1"/>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2">
    <w:name w:val="endnote text"/>
    <w:basedOn w:val="1"/>
    <w:link w:val="178"/>
    <w:semiHidden/>
    <w:unhideWhenUsed/>
    <w:uiPriority w:val="99"/>
    <w:pPr>
      <w:spacing w:after="0" w:line="240" w:lineRule="auto"/>
    </w:pPr>
    <w:rPr>
      <w:sz w:val="20"/>
      <w:szCs w:val="20"/>
    </w:rPr>
  </w:style>
  <w:style w:type="paragraph" w:styleId="13">
    <w:name w:val="footer"/>
    <w:basedOn w:val="1"/>
    <w:link w:val="176"/>
    <w:unhideWhenUsed/>
    <w:uiPriority w:val="99"/>
    <w:pPr>
      <w:tabs>
        <w:tab w:val="center" w:pos="4844"/>
        <w:tab w:val="right" w:pos="9689"/>
      </w:tabs>
      <w:spacing w:after="0" w:line="240" w:lineRule="auto"/>
    </w:pPr>
  </w:style>
  <w:style w:type="paragraph" w:styleId="14">
    <w:name w:val="header"/>
    <w:basedOn w:val="1"/>
    <w:link w:val="175"/>
    <w:unhideWhenUsed/>
    <w:uiPriority w:val="99"/>
    <w:pPr>
      <w:tabs>
        <w:tab w:val="center" w:pos="4844"/>
        <w:tab w:val="right" w:pos="9689"/>
      </w:tabs>
      <w:spacing w:after="0" w:line="240" w:lineRule="auto"/>
    </w:pPr>
  </w:style>
  <w:style w:type="paragraph" w:styleId="15">
    <w:name w:val="Subtitle"/>
    <w:basedOn w:val="1"/>
    <w:next w:val="1"/>
    <w:link w:val="163"/>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6">
    <w:name w:val="footnote text"/>
    <w:basedOn w:val="1"/>
    <w:link w:val="177"/>
    <w:semiHidden/>
    <w:unhideWhenUsed/>
    <w:uiPriority w:val="99"/>
    <w:pPr>
      <w:spacing w:after="0" w:line="240" w:lineRule="auto"/>
    </w:pPr>
    <w:rPr>
      <w:sz w:val="20"/>
      <w:szCs w:val="20"/>
    </w:rPr>
  </w:style>
  <w:style w:type="paragraph" w:styleId="17">
    <w:name w:val="table of figures"/>
    <w:basedOn w:val="1"/>
    <w:next w:val="1"/>
    <w:unhideWhenUsed/>
    <w:uiPriority w:val="99"/>
    <w:pPr>
      <w:spacing w:after="0" w:afterAutospacing="0"/>
    </w:pPr>
  </w:style>
  <w:style w:type="paragraph" w:styleId="18">
    <w:name w:val="Title"/>
    <w:basedOn w:val="1"/>
    <w:next w:val="1"/>
    <w:link w:val="162"/>
    <w:qFormat/>
    <w:uiPriority w:val="10"/>
    <w:pPr>
      <w:spacing w:after="80" w:line="240" w:lineRule="auto"/>
      <w:contextualSpacing/>
    </w:pPr>
    <w:rPr>
      <w:rFonts w:ascii="Arial" w:hAnsi="Arial" w:eastAsia="Arial" w:cs="Arial"/>
      <w:spacing w:val="-10"/>
      <w:sz w:val="56"/>
      <w:szCs w:val="56"/>
    </w:rPr>
  </w:style>
  <w:style w:type="table" w:styleId="20">
    <w:name w:val="Table Grid"/>
    <w:basedOn w:val="19"/>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22">
    <w:name w:val="Strong"/>
    <w:basedOn w:val="21"/>
    <w:qFormat/>
    <w:uiPriority w:val="22"/>
    <w:rPr>
      <w:b/>
      <w:bCs/>
    </w:rPr>
  </w:style>
  <w:style w:type="character" w:styleId="23">
    <w:name w:val="endnote reference"/>
    <w:basedOn w:val="21"/>
    <w:semiHidden/>
    <w:unhideWhenUsed/>
    <w:uiPriority w:val="99"/>
    <w:rPr>
      <w:vertAlign w:val="superscript"/>
    </w:rPr>
  </w:style>
  <w:style w:type="character" w:styleId="24">
    <w:name w:val="FollowedHyperlink"/>
    <w:basedOn w:val="21"/>
    <w:semiHidden/>
    <w:unhideWhenUsed/>
    <w:uiPriority w:val="99"/>
    <w:rPr>
      <w:color w:val="800080" w:themeColor="followedHyperlink"/>
      <w:u w:val="single"/>
      <w14:textFill>
        <w14:solidFill>
          <w14:schemeClr w14:val="folHlink"/>
        </w14:solidFill>
      </w14:textFill>
    </w:rPr>
  </w:style>
  <w:style w:type="character" w:styleId="25">
    <w:name w:val="Emphasis"/>
    <w:basedOn w:val="21"/>
    <w:qFormat/>
    <w:uiPriority w:val="20"/>
    <w:rPr>
      <w:i/>
      <w:iCs/>
    </w:rPr>
  </w:style>
  <w:style w:type="character" w:styleId="26">
    <w:name w:val="Hyperlink"/>
    <w:basedOn w:val="21"/>
    <w:unhideWhenUsed/>
    <w:uiPriority w:val="99"/>
    <w:rPr>
      <w:color w:val="0000FF" w:themeColor="hyperlink"/>
      <w:u w:val="single"/>
      <w14:textFill>
        <w14:solidFill>
          <w14:schemeClr w14:val="hlink"/>
        </w14:solidFill>
      </w14:textFill>
    </w:rPr>
  </w:style>
  <w:style w:type="character" w:styleId="27">
    <w:name w:val="footnote reference"/>
    <w:basedOn w:val="21"/>
    <w:semiHidden/>
    <w:unhideWhenUsed/>
    <w:uiPriority w:val="99"/>
    <w:rPr>
      <w:vertAlign w:val="superscript"/>
    </w:rPr>
  </w:style>
  <w:style w:type="table" w:customStyle="1" w:styleId="28">
    <w:name w:val="Table Grid Light"/>
    <w:basedOn w:val="1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9">
    <w:name w:val="Plain Table 1"/>
    <w:basedOn w:val="1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30">
    <w:name w:val="Plain Table 2"/>
    <w:basedOn w:val="1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31">
    <w:name w:val="Plain Table 3"/>
    <w:basedOn w:val="19"/>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32">
    <w:name w:val="Plain Table 4"/>
    <w:basedOn w:val="19"/>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33">
    <w:name w:val="Plain Table 5"/>
    <w:basedOn w:val="19"/>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34">
    <w:name w:val="Grid Table 1 Light"/>
    <w:basedOn w:val="19"/>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35">
    <w:name w:val="Grid Table 1 Light - Accent 1"/>
    <w:basedOn w:val="19"/>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36">
    <w:name w:val="Grid Table 1 Light - Accent 2"/>
    <w:basedOn w:val="19"/>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37">
    <w:name w:val="Grid Table 1 Light - Accent 3"/>
    <w:basedOn w:val="1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38">
    <w:name w:val="Grid Table 1 Light - Accent 4"/>
    <w:basedOn w:val="1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39">
    <w:name w:val="Grid Table 1 Light - Accent 5"/>
    <w:basedOn w:val="19"/>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40">
    <w:name w:val="Grid Table 1 Light - Accent 6"/>
    <w:basedOn w:val="19"/>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41">
    <w:name w:val="Grid Table 2"/>
    <w:basedOn w:val="1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42">
    <w:name w:val="Grid Table 2 - Accent 1"/>
    <w:basedOn w:val="19"/>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43">
    <w:name w:val="Grid Table 2 - Accent 2"/>
    <w:basedOn w:val="19"/>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44">
    <w:name w:val="Grid Table 2 - Accent 3"/>
    <w:basedOn w:val="19"/>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45">
    <w:name w:val="Grid Table 2 - Accent 4"/>
    <w:basedOn w:val="19"/>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46">
    <w:name w:val="Grid Table 2 - Accent 5"/>
    <w:basedOn w:val="19"/>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47">
    <w:name w:val="Grid Table 2 - Accent 6"/>
    <w:basedOn w:val="1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48">
    <w:name w:val="Grid Table 3"/>
    <w:basedOn w:val="19"/>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49">
    <w:name w:val="Grid Table 3 - Accent 1"/>
    <w:basedOn w:val="19"/>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0">
    <w:name w:val="Grid Table 3 - Accent 2"/>
    <w:basedOn w:val="1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1">
    <w:name w:val="Grid Table 3 - Accent 3"/>
    <w:basedOn w:val="1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2">
    <w:name w:val="Grid Table 3 - Accent 4"/>
    <w:basedOn w:val="1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53">
    <w:name w:val="Grid Table 3 - Accent 5"/>
    <w:basedOn w:val="1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54">
    <w:name w:val="Grid Table 3 - Accent 6"/>
    <w:basedOn w:val="19"/>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55">
    <w:name w:val="Grid Table 4"/>
    <w:basedOn w:val="1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6">
    <w:name w:val="Grid Table 4 - Accent 1"/>
    <w:basedOn w:val="19"/>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57">
    <w:name w:val="Grid Table 4 - Accent 2"/>
    <w:basedOn w:val="19"/>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8">
    <w:name w:val="Grid Table 4 - Accent 3"/>
    <w:basedOn w:val="19"/>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9">
    <w:name w:val="Grid Table 4 - Accent 4"/>
    <w:basedOn w:val="19"/>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0">
    <w:name w:val="Grid Table 4 - Accent 5"/>
    <w:basedOn w:val="19"/>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1">
    <w:name w:val="Grid Table 4 - Accent 6"/>
    <w:basedOn w:val="19"/>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2">
    <w:name w:val="Grid Table 5 Dark"/>
    <w:basedOn w:val="1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63">
    <w:name w:val="Grid Table 5 Dark- Accent 1"/>
    <w:basedOn w:val="1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64">
    <w:name w:val="Grid Table 5 Dark - Accent 2"/>
    <w:basedOn w:val="1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65">
    <w:name w:val="Grid Table 5 Dark - Accent 3"/>
    <w:basedOn w:val="1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66">
    <w:name w:val="Grid Table 5 Dark- Accent 4"/>
    <w:basedOn w:val="1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67">
    <w:name w:val="Grid Table 5 Dark - Accent 5"/>
    <w:basedOn w:val="1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68">
    <w:name w:val="Grid Table 5 Dark - Accent 6"/>
    <w:basedOn w:val="1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69">
    <w:name w:val="Grid Table 6 Colorful"/>
    <w:basedOn w:val="1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0">
    <w:name w:val="Grid Table 6 Colorful - Accent 1"/>
    <w:basedOn w:val="19"/>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1">
    <w:name w:val="Grid Table 6 Colorful - Accent 2"/>
    <w:basedOn w:val="1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72">
    <w:name w:val="Grid Table 6 Colorful - Accent 3"/>
    <w:basedOn w:val="19"/>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73">
    <w:name w:val="Grid Table 6 Colorful - Accent 4"/>
    <w:basedOn w:val="1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74">
    <w:name w:val="Grid Table 6 Colorful - Accent 5"/>
    <w:basedOn w:val="19"/>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75">
    <w:name w:val="Grid Table 6 Colorful - Accent 6"/>
    <w:basedOn w:val="19"/>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76">
    <w:name w:val="Grid Table 7 Colorful"/>
    <w:basedOn w:val="1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7">
    <w:name w:val="Grid Table 7 Colorful - Accent 1"/>
    <w:basedOn w:val="19"/>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8">
    <w:name w:val="Grid Table 7 Colorful - Accent 2"/>
    <w:basedOn w:val="19"/>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79">
    <w:name w:val="Grid Table 7 Colorful - Accent 3"/>
    <w:basedOn w:val="19"/>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0">
    <w:name w:val="Grid Table 7 Colorful - Accent 4"/>
    <w:basedOn w:val="19"/>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1">
    <w:name w:val="Grid Table 7 Colorful - Accent 5"/>
    <w:basedOn w:val="19"/>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2">
    <w:name w:val="Grid Table 7 Colorful - Accent 6"/>
    <w:basedOn w:val="19"/>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83">
    <w:name w:val="List Table 1 Light"/>
    <w:basedOn w:val="19"/>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84">
    <w:name w:val="List Table 1 Light - Accent 1"/>
    <w:basedOn w:val="19"/>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85">
    <w:name w:val="List Table 1 Light - Accent 2"/>
    <w:basedOn w:val="19"/>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86">
    <w:name w:val="List Table 1 Light - Accent 3"/>
    <w:basedOn w:val="19"/>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87">
    <w:name w:val="List Table 1 Light - Accent 4"/>
    <w:basedOn w:val="19"/>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88">
    <w:name w:val="List Table 1 Light - Accent 5"/>
    <w:basedOn w:val="19"/>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89">
    <w:name w:val="List Table 1 Light - Accent 6"/>
    <w:basedOn w:val="19"/>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90">
    <w:name w:val="List Table 2"/>
    <w:basedOn w:val="19"/>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1">
    <w:name w:val="List Table 2 - Accent 1"/>
    <w:basedOn w:val="19"/>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2">
    <w:name w:val="List Table 2 - Accent 2"/>
    <w:basedOn w:val="19"/>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93">
    <w:name w:val="List Table 2 - Accent 3"/>
    <w:basedOn w:val="19"/>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94">
    <w:name w:val="List Table 2 - Accent 4"/>
    <w:basedOn w:val="19"/>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95">
    <w:name w:val="List Table 2 - Accent 5"/>
    <w:basedOn w:val="19"/>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96">
    <w:name w:val="List Table 2 - Accent 6"/>
    <w:basedOn w:val="19"/>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97">
    <w:name w:val="List Table 3"/>
    <w:basedOn w:val="1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98">
    <w:name w:val="List Table 3 - Accent 1"/>
    <w:basedOn w:val="19"/>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99">
    <w:name w:val="List Table 3 - Accent 2"/>
    <w:basedOn w:val="1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00">
    <w:name w:val="List Table 3 - Accent 3"/>
    <w:basedOn w:val="19"/>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01">
    <w:name w:val="List Table 3 - Accent 4"/>
    <w:basedOn w:val="19"/>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02">
    <w:name w:val="List Table 3 - Accent 5"/>
    <w:basedOn w:val="19"/>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03">
    <w:name w:val="List Table 3 - Accent 6"/>
    <w:basedOn w:val="19"/>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04">
    <w:name w:val="List Table 4"/>
    <w:basedOn w:val="1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5">
    <w:name w:val="List Table 4 - Accent 1"/>
    <w:basedOn w:val="19"/>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6">
    <w:name w:val="List Table 4 - Accent 2"/>
    <w:basedOn w:val="19"/>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7">
    <w:name w:val="List Table 4 - Accent 3"/>
    <w:basedOn w:val="19"/>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8">
    <w:name w:val="List Table 4 - Accent 4"/>
    <w:basedOn w:val="19"/>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9">
    <w:name w:val="List Table 4 - Accent 5"/>
    <w:basedOn w:val="19"/>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0">
    <w:name w:val="List Table 4 - Accent 6"/>
    <w:basedOn w:val="19"/>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1">
    <w:name w:val="List Table 5 Dark"/>
    <w:basedOn w:val="19"/>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12">
    <w:name w:val="List Table 5 Dark - Accent 1"/>
    <w:basedOn w:val="19"/>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13">
    <w:name w:val="List Table 5 Dark - Accent 2"/>
    <w:basedOn w:val="19"/>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14">
    <w:name w:val="List Table 5 Dark - Accent 3"/>
    <w:basedOn w:val="19"/>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15">
    <w:name w:val="List Table 5 Dark - Accent 4"/>
    <w:basedOn w:val="19"/>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16">
    <w:name w:val="List Table 5 Dark - Accent 5"/>
    <w:basedOn w:val="19"/>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17">
    <w:name w:val="List Table 5 Dark - Accent 6"/>
    <w:basedOn w:val="19"/>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18">
    <w:name w:val="List Table 6 Colorful"/>
    <w:basedOn w:val="19"/>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19">
    <w:name w:val="List Table 6 Colorful - Accent 1"/>
    <w:basedOn w:val="19"/>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20">
    <w:name w:val="List Table 6 Colorful - Accent 2"/>
    <w:basedOn w:val="19"/>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1">
    <w:name w:val="List Table 6 Colorful - Accent 3"/>
    <w:basedOn w:val="19"/>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22">
    <w:name w:val="List Table 6 Colorful - Accent 4"/>
    <w:basedOn w:val="19"/>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23">
    <w:name w:val="List Table 6 Colorful - Accent 5"/>
    <w:basedOn w:val="19"/>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24">
    <w:name w:val="List Table 6 Colorful - Accent 6"/>
    <w:basedOn w:val="19"/>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25">
    <w:name w:val="List Table 7 Colorful"/>
    <w:basedOn w:val="19"/>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26">
    <w:name w:val="List Table 7 Colorful - Accent 1"/>
    <w:basedOn w:val="19"/>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27">
    <w:name w:val="List Table 7 Colorful - Accent 2"/>
    <w:basedOn w:val="19"/>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8">
    <w:name w:val="List Table 7 Colorful - Accent 3"/>
    <w:basedOn w:val="19"/>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29">
    <w:name w:val="List Table 7 Colorful - Accent 4"/>
    <w:basedOn w:val="19"/>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0">
    <w:name w:val="List Table 7 Colorful - Accent 5"/>
    <w:basedOn w:val="19"/>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1">
    <w:name w:val="List Table 7 Colorful - Accent 6"/>
    <w:basedOn w:val="19"/>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2">
    <w:name w:val="Lined - Accent"/>
    <w:basedOn w:val="19"/>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33">
    <w:name w:val="Lined - Accent 1"/>
    <w:basedOn w:val="19"/>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34">
    <w:name w:val="Lined - Accent 2"/>
    <w:basedOn w:val="19"/>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35">
    <w:name w:val="Lined - Accent 3"/>
    <w:basedOn w:val="19"/>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36">
    <w:name w:val="Lined - Accent 4"/>
    <w:basedOn w:val="19"/>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37">
    <w:name w:val="Lined - Accent 5"/>
    <w:basedOn w:val="19"/>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38">
    <w:name w:val="Lined - Accent 6"/>
    <w:basedOn w:val="19"/>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39">
    <w:name w:val="Bordered &amp; Lined - Accent"/>
    <w:basedOn w:val="19"/>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0">
    <w:name w:val="Bordered &amp; Lined - Accent 1"/>
    <w:basedOn w:val="19"/>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1">
    <w:name w:val="Bordered &amp; Lined - Accent 2"/>
    <w:basedOn w:val="19"/>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2">
    <w:name w:val="Bordered &amp; Lined - Accent 3"/>
    <w:basedOn w:val="19"/>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43">
    <w:name w:val="Bordered &amp; Lined - Accent 4"/>
    <w:basedOn w:val="19"/>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44">
    <w:name w:val="Bordered &amp; Lined - Accent 5"/>
    <w:basedOn w:val="19"/>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45">
    <w:name w:val="Bordered &amp; Lined - Accent 6"/>
    <w:basedOn w:val="19"/>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46">
    <w:name w:val="Bordered"/>
    <w:basedOn w:val="19"/>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47">
    <w:name w:val="Bordered - Accent 1"/>
    <w:basedOn w:val="1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48">
    <w:name w:val="Bordered - Accent 2"/>
    <w:basedOn w:val="19"/>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49">
    <w:name w:val="Bordered - Accent 3"/>
    <w:basedOn w:val="19"/>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50">
    <w:name w:val="Bordered - Accent 4"/>
    <w:basedOn w:val="1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51">
    <w:name w:val="Bordered - Accent 5"/>
    <w:basedOn w:val="1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52">
    <w:name w:val="Bordered - Accent 6"/>
    <w:basedOn w:val="19"/>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53">
    <w:name w:val="Heading 1 Char"/>
    <w:basedOn w:val="21"/>
    <w:link w:val="2"/>
    <w:uiPriority w:val="9"/>
    <w:rPr>
      <w:rFonts w:ascii="Arial" w:hAnsi="Arial" w:eastAsia="Arial" w:cs="Arial"/>
      <w:color w:val="376092" w:themeColor="accent1" w:themeShade="BF"/>
      <w:sz w:val="40"/>
      <w:szCs w:val="40"/>
    </w:rPr>
  </w:style>
  <w:style w:type="character" w:customStyle="1" w:styleId="154">
    <w:name w:val="Heading 2 Char"/>
    <w:basedOn w:val="21"/>
    <w:link w:val="3"/>
    <w:uiPriority w:val="9"/>
    <w:rPr>
      <w:rFonts w:ascii="Arial" w:hAnsi="Arial" w:eastAsia="Arial" w:cs="Arial"/>
      <w:color w:val="376092" w:themeColor="accent1" w:themeShade="BF"/>
      <w:sz w:val="32"/>
      <w:szCs w:val="32"/>
    </w:rPr>
  </w:style>
  <w:style w:type="character" w:customStyle="1" w:styleId="155">
    <w:name w:val="Heading 3 Char"/>
    <w:basedOn w:val="21"/>
    <w:link w:val="4"/>
    <w:uiPriority w:val="9"/>
    <w:rPr>
      <w:rFonts w:ascii="Arial" w:hAnsi="Arial" w:eastAsia="Arial" w:cs="Arial"/>
      <w:color w:val="376092" w:themeColor="accent1" w:themeShade="BF"/>
      <w:sz w:val="28"/>
      <w:szCs w:val="28"/>
    </w:rPr>
  </w:style>
  <w:style w:type="character" w:customStyle="1" w:styleId="156">
    <w:name w:val="Heading 4 Char"/>
    <w:basedOn w:val="21"/>
    <w:link w:val="5"/>
    <w:qFormat/>
    <w:uiPriority w:val="9"/>
    <w:rPr>
      <w:rFonts w:ascii="Arial" w:hAnsi="Arial" w:eastAsia="Arial" w:cs="Arial"/>
      <w:i/>
      <w:iCs/>
      <w:color w:val="376092" w:themeColor="accent1" w:themeShade="BF"/>
    </w:rPr>
  </w:style>
  <w:style w:type="character" w:customStyle="1" w:styleId="157">
    <w:name w:val="Heading 5 Char"/>
    <w:basedOn w:val="21"/>
    <w:link w:val="6"/>
    <w:qFormat/>
    <w:uiPriority w:val="9"/>
    <w:rPr>
      <w:rFonts w:ascii="Arial" w:hAnsi="Arial" w:eastAsia="Arial" w:cs="Arial"/>
      <w:color w:val="376092" w:themeColor="accent1" w:themeShade="BF"/>
    </w:rPr>
  </w:style>
  <w:style w:type="character" w:customStyle="1" w:styleId="158">
    <w:name w:val="Heading 6 Char"/>
    <w:basedOn w:val="21"/>
    <w:link w:val="7"/>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59">
    <w:name w:val="Heading 7 Char"/>
    <w:basedOn w:val="21"/>
    <w:link w:val="8"/>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0">
    <w:name w:val="Heading 8 Char"/>
    <w:basedOn w:val="21"/>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1">
    <w:name w:val="Heading 9 Char"/>
    <w:basedOn w:val="21"/>
    <w:link w:val="10"/>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2">
    <w:name w:val="Title Char"/>
    <w:basedOn w:val="21"/>
    <w:link w:val="18"/>
    <w:uiPriority w:val="10"/>
    <w:rPr>
      <w:rFonts w:ascii="Arial" w:hAnsi="Arial" w:eastAsia="Arial" w:cs="Arial"/>
      <w:spacing w:val="-10"/>
      <w:sz w:val="56"/>
      <w:szCs w:val="56"/>
    </w:rPr>
  </w:style>
  <w:style w:type="character" w:customStyle="1" w:styleId="163">
    <w:name w:val="Subtitle Char"/>
    <w:basedOn w:val="21"/>
    <w:link w:val="15"/>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64">
    <w:name w:val="Quote"/>
    <w:basedOn w:val="1"/>
    <w:next w:val="1"/>
    <w:link w:val="16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65">
    <w:name w:val="Quote Char"/>
    <w:basedOn w:val="21"/>
    <w:link w:val="164"/>
    <w:uiPriority w:val="29"/>
    <w:rPr>
      <w:i/>
      <w:iCs/>
      <w:color w:val="404040" w:themeColor="text1" w:themeTint="BF"/>
      <w14:textFill>
        <w14:solidFill>
          <w14:schemeClr w14:val="tx1">
            <w14:lumMod w14:val="75000"/>
            <w14:lumOff w14:val="25000"/>
          </w14:schemeClr>
        </w14:solidFill>
      </w14:textFill>
    </w:rPr>
  </w:style>
  <w:style w:type="paragraph" w:styleId="166">
    <w:name w:val="List Paragraph"/>
    <w:basedOn w:val="1"/>
    <w:qFormat/>
    <w:uiPriority w:val="34"/>
    <w:pPr>
      <w:ind w:left="720"/>
      <w:contextualSpacing/>
    </w:pPr>
  </w:style>
  <w:style w:type="character" w:customStyle="1" w:styleId="167">
    <w:name w:val="Intense Emphasis"/>
    <w:basedOn w:val="21"/>
    <w:qFormat/>
    <w:uiPriority w:val="21"/>
    <w:rPr>
      <w:i/>
      <w:iCs/>
      <w:color w:val="376092" w:themeColor="accent1" w:themeShade="BF"/>
    </w:rPr>
  </w:style>
  <w:style w:type="paragraph" w:styleId="168">
    <w:name w:val="Intense Quote"/>
    <w:basedOn w:val="1"/>
    <w:next w:val="1"/>
    <w:link w:val="16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69">
    <w:name w:val="Intense Quote Char"/>
    <w:basedOn w:val="21"/>
    <w:link w:val="168"/>
    <w:qFormat/>
    <w:uiPriority w:val="30"/>
    <w:rPr>
      <w:i/>
      <w:iCs/>
      <w:color w:val="376092" w:themeColor="accent1" w:themeShade="BF"/>
    </w:rPr>
  </w:style>
  <w:style w:type="character" w:customStyle="1" w:styleId="170">
    <w:name w:val="Intense Reference"/>
    <w:basedOn w:val="21"/>
    <w:qFormat/>
    <w:uiPriority w:val="32"/>
    <w:rPr>
      <w:b/>
      <w:bCs/>
      <w:smallCaps/>
      <w:color w:val="376092" w:themeColor="accent1" w:themeShade="BF"/>
      <w:spacing w:val="5"/>
    </w:rPr>
  </w:style>
  <w:style w:type="paragraph" w:styleId="171">
    <w:name w:val="No Spacing"/>
    <w:basedOn w:val="1"/>
    <w:qFormat/>
    <w:uiPriority w:val="1"/>
    <w:pPr>
      <w:spacing w:after="0" w:line="240" w:lineRule="auto"/>
    </w:pPr>
  </w:style>
  <w:style w:type="character" w:customStyle="1" w:styleId="172">
    <w:name w:val="Subtle Emphasis"/>
    <w:basedOn w:val="21"/>
    <w:qFormat/>
    <w:uiPriority w:val="19"/>
    <w:rPr>
      <w:i/>
      <w:iCs/>
      <w:color w:val="404040" w:themeColor="text1" w:themeTint="BF"/>
      <w14:textFill>
        <w14:solidFill>
          <w14:schemeClr w14:val="tx1">
            <w14:lumMod w14:val="75000"/>
            <w14:lumOff w14:val="25000"/>
          </w14:schemeClr>
        </w14:solidFill>
      </w14:textFill>
    </w:rPr>
  </w:style>
  <w:style w:type="character" w:customStyle="1" w:styleId="173">
    <w:name w:val="Subtle Reference"/>
    <w:basedOn w:val="2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74">
    <w:name w:val="Book Title"/>
    <w:basedOn w:val="21"/>
    <w:qFormat/>
    <w:uiPriority w:val="33"/>
    <w:rPr>
      <w:b/>
      <w:bCs/>
      <w:i/>
      <w:iCs/>
      <w:spacing w:val="5"/>
    </w:rPr>
  </w:style>
  <w:style w:type="character" w:customStyle="1" w:styleId="175">
    <w:name w:val="Header Char"/>
    <w:basedOn w:val="21"/>
    <w:link w:val="14"/>
    <w:qFormat/>
    <w:uiPriority w:val="99"/>
  </w:style>
  <w:style w:type="character" w:customStyle="1" w:styleId="176">
    <w:name w:val="Footer Char"/>
    <w:basedOn w:val="21"/>
    <w:link w:val="13"/>
    <w:uiPriority w:val="99"/>
  </w:style>
  <w:style w:type="character" w:customStyle="1" w:styleId="177">
    <w:name w:val="Footnote Text Char"/>
    <w:basedOn w:val="21"/>
    <w:link w:val="16"/>
    <w:semiHidden/>
    <w:uiPriority w:val="99"/>
    <w:rPr>
      <w:sz w:val="20"/>
      <w:szCs w:val="20"/>
    </w:rPr>
  </w:style>
  <w:style w:type="character" w:customStyle="1" w:styleId="178">
    <w:name w:val="Endnote Text Char"/>
    <w:basedOn w:val="21"/>
    <w:link w:val="12"/>
    <w:semiHidden/>
    <w:uiPriority w:val="99"/>
    <w:rPr>
      <w:sz w:val="20"/>
      <w:szCs w:val="20"/>
    </w:rPr>
  </w:style>
  <w:style w:type="paragraph" w:customStyle="1" w:styleId="179">
    <w:name w:val="TOC Heading"/>
    <w:unhideWhenUsed/>
    <w:qFormat/>
    <w:uiPriority w:val="39"/>
    <w:rPr>
      <w:rFonts w:hint="default" w:ascii="Times New Roman" w:hAnsi="Times New Roman" w:eastAsia="宋体" w:cs="Times New Roman"/>
    </w:rPr>
  </w:style>
  <w:style w:type="character" w:customStyle="1" w:styleId="180">
    <w:name w:val="默认段落字体1"/>
    <w:link w:val="1"/>
    <w:unhideWhenUsed/>
    <w:qFormat/>
    <w:uiPriority w:val="1"/>
  </w:style>
  <w:style w:type="table" w:customStyle="1" w:styleId="181">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82">
    <w:name w:val="正文文本缩进1"/>
    <w:basedOn w:val="1"/>
    <w:link w:val="183"/>
    <w:uiPriority w:val="0"/>
    <w:pPr>
      <w:ind w:firstLine="564"/>
      <w:jc w:val="left"/>
    </w:pPr>
    <w:rPr>
      <w:color w:val="000000"/>
      <w:sz w:val="30"/>
      <w:szCs w:val="20"/>
    </w:rPr>
  </w:style>
  <w:style w:type="character" w:customStyle="1" w:styleId="183">
    <w:name w:val="正文文本缩进 字符"/>
    <w:link w:val="182"/>
    <w:uiPriority w:val="0"/>
    <w:rPr>
      <w:rFonts w:ascii="Times New Roman" w:hAnsi="Times New Roman" w:eastAsia="宋体" w:cs="Times New Roman"/>
      <w:color w:val="000000"/>
      <w:sz w:val="30"/>
      <w:szCs w:val="20"/>
    </w:rPr>
  </w:style>
  <w:style w:type="paragraph" w:customStyle="1" w:styleId="184">
    <w:name w:val="页脚1"/>
    <w:basedOn w:val="1"/>
    <w:link w:val="185"/>
    <w:unhideWhenUsed/>
    <w:uiPriority w:val="99"/>
    <w:pPr>
      <w:tabs>
        <w:tab w:val="center" w:pos="4153"/>
        <w:tab w:val="right" w:pos="8306"/>
      </w:tabs>
      <w:jc w:val="left"/>
    </w:pPr>
    <w:rPr>
      <w:sz w:val="18"/>
      <w:szCs w:val="18"/>
    </w:rPr>
  </w:style>
  <w:style w:type="character" w:customStyle="1" w:styleId="185">
    <w:name w:val="页脚 字符1"/>
    <w:link w:val="184"/>
    <w:uiPriority w:val="99"/>
    <w:rPr>
      <w:rFonts w:ascii="Times New Roman" w:hAnsi="Times New Roman"/>
      <w:sz w:val="18"/>
      <w:szCs w:val="18"/>
    </w:rPr>
  </w:style>
  <w:style w:type="paragraph" w:customStyle="1" w:styleId="186">
    <w:name w:val="页眉1"/>
    <w:basedOn w:val="1"/>
    <w:link w:val="187"/>
    <w:unhideWhenUsed/>
    <w:uiPriority w:val="0"/>
    <w:pPr>
      <w:pBdr>
        <w:bottom w:val="single" w:color="000000" w:sz="6" w:space="1"/>
      </w:pBdr>
      <w:tabs>
        <w:tab w:val="center" w:pos="4153"/>
        <w:tab w:val="right" w:pos="8306"/>
      </w:tabs>
      <w:jc w:val="center"/>
    </w:pPr>
    <w:rPr>
      <w:sz w:val="18"/>
      <w:szCs w:val="18"/>
    </w:rPr>
  </w:style>
  <w:style w:type="character" w:customStyle="1" w:styleId="187">
    <w:name w:val="页眉 字符1"/>
    <w:link w:val="186"/>
    <w:uiPriority w:val="0"/>
    <w:rPr>
      <w:rFonts w:ascii="Times New Roman" w:hAnsi="Times New Roman"/>
      <w:sz w:val="18"/>
      <w:szCs w:val="18"/>
    </w:rPr>
  </w:style>
  <w:style w:type="character" w:customStyle="1" w:styleId="188">
    <w:name w:val="页眉 字符"/>
    <w:link w:val="1"/>
    <w:uiPriority w:val="99"/>
  </w:style>
  <w:style w:type="character" w:customStyle="1" w:styleId="189">
    <w:name w:val="页脚 字符"/>
    <w:link w:val="1"/>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Template>
  <Company>Chi</Company>
  <Pages>8</Pages>
  <TotalTime>9</TotalTime>
  <ScaleCrop>false</ScaleCrop>
  <LinksUpToDate>false</LinksUpToDate>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2019-04-17T07:26:00Z</dcterms:created>
  <dc:creator>苏</dc:creator>
  <cp:lastModifiedBy>Administrator</cp:lastModifiedBy>
  <dcterms:modified xsi:type="dcterms:W3CDTF">2026-10-10T09:48:00Z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395793A6754E4D5A9B0E66C32058B1BD_12</vt:lpwstr>
  </property>
</Properties>
</file>