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0F0E4">
      <w:pPr>
        <w:jc w:val="center"/>
        <w:rPr>
          <w:rFonts w:ascii="仿宋_GB2312" w:eastAsia="仿宋_GB2312"/>
          <w:sz w:val="32"/>
        </w:rPr>
      </w:pPr>
      <w:bookmarkStart w:id="0" w:name="_Hlk86930950"/>
    </w:p>
    <w:p w14:paraId="36161A25">
      <w:pPr>
        <w:jc w:val="center"/>
        <w:rPr>
          <w:rFonts w:ascii="仿宋_GB2312" w:eastAsia="仿宋_GB2312"/>
          <w:b/>
          <w:sz w:val="72"/>
          <w:szCs w:val="72"/>
        </w:rPr>
      </w:pPr>
    </w:p>
    <w:p w14:paraId="08F5C394">
      <w:pPr>
        <w:jc w:val="center"/>
        <w:rPr>
          <w:rFonts w:ascii="仿宋_GB2312" w:eastAsia="仿宋_GB2312"/>
          <w:b/>
          <w:sz w:val="72"/>
          <w:szCs w:val="72"/>
        </w:rPr>
      </w:pPr>
    </w:p>
    <w:p w14:paraId="22DE23FB">
      <w:pPr>
        <w:jc w:val="center"/>
        <w:rPr>
          <w:rFonts w:hint="eastAsia" w:ascii="仿宋_GB2312" w:hAnsi="仿宋_GB2312" w:eastAsia="仿宋_GB2312" w:cs="仿宋_GB2312"/>
          <w:b/>
          <w:bCs/>
          <w:snapToGrid w:val="0"/>
          <w:spacing w:val="30"/>
          <w:kern w:val="52"/>
          <w:sz w:val="72"/>
          <w:szCs w:val="72"/>
          <w:lang w:eastAsia="zh-CN"/>
        </w:rPr>
      </w:pPr>
      <w:r>
        <w:rPr>
          <w:rFonts w:hint="eastAsia" w:ascii="仿宋_GB2312" w:hAnsi="仿宋_GB2312" w:eastAsia="仿宋_GB2312" w:cs="仿宋_GB2312"/>
          <w:b/>
          <w:bCs/>
          <w:snapToGrid w:val="0"/>
          <w:spacing w:val="30"/>
          <w:kern w:val="52"/>
          <w:sz w:val="72"/>
          <w:szCs w:val="72"/>
          <w:lang w:eastAsia="zh-CN"/>
        </w:rPr>
        <w:t>前锋水乡一涌新中一街</w:t>
      </w:r>
    </w:p>
    <w:p w14:paraId="02B54C15">
      <w:pPr>
        <w:jc w:val="center"/>
        <w:rPr>
          <w:rFonts w:hint="eastAsia" w:ascii="仿宋_GB2312" w:hAnsi="仿宋_GB2312" w:eastAsia="仿宋_GB2312" w:cs="仿宋_GB2312"/>
          <w:b/>
          <w:bCs/>
          <w:snapToGrid w:val="0"/>
          <w:spacing w:val="30"/>
          <w:kern w:val="52"/>
          <w:sz w:val="72"/>
          <w:szCs w:val="72"/>
        </w:rPr>
      </w:pPr>
      <w:r>
        <w:rPr>
          <w:rFonts w:hint="eastAsia" w:ascii="仿宋_GB2312" w:hAnsi="仿宋_GB2312" w:eastAsia="仿宋_GB2312" w:cs="仿宋_GB2312"/>
          <w:b/>
          <w:bCs/>
          <w:snapToGrid w:val="0"/>
          <w:spacing w:val="30"/>
          <w:kern w:val="52"/>
          <w:sz w:val="72"/>
          <w:szCs w:val="72"/>
          <w:lang w:eastAsia="zh-CN"/>
        </w:rPr>
        <w:t>共</w:t>
      </w:r>
      <w:r>
        <w:rPr>
          <w:rFonts w:hint="eastAsia" w:ascii="仿宋_GB2312" w:hAnsi="仿宋_GB2312" w:eastAsia="仿宋_GB2312" w:cs="仿宋_GB2312"/>
          <w:b/>
          <w:bCs/>
          <w:snapToGrid w:val="0"/>
          <w:spacing w:val="30"/>
          <w:kern w:val="52"/>
          <w:sz w:val="72"/>
          <w:szCs w:val="72"/>
          <w:lang w:val="en-US" w:eastAsia="zh-CN"/>
        </w:rPr>
        <w:t>13宗</w:t>
      </w:r>
      <w:r>
        <w:rPr>
          <w:rFonts w:hint="eastAsia" w:ascii="仿宋_GB2312" w:hAnsi="仿宋_GB2312" w:eastAsia="仿宋_GB2312" w:cs="仿宋_GB2312"/>
          <w:b/>
          <w:bCs/>
          <w:snapToGrid w:val="0"/>
          <w:spacing w:val="30"/>
          <w:kern w:val="52"/>
          <w:sz w:val="72"/>
          <w:szCs w:val="72"/>
        </w:rPr>
        <w:t>已征收物业</w:t>
      </w:r>
    </w:p>
    <w:p w14:paraId="1B2BF32A">
      <w:pPr>
        <w:jc w:val="center"/>
        <w:rPr>
          <w:rFonts w:eastAsia="仿宋_GB2312"/>
          <w:b/>
          <w:sz w:val="44"/>
          <w:szCs w:val="44"/>
          <w:lang w:val="en-GB"/>
        </w:rPr>
      </w:pPr>
      <w:r>
        <w:rPr>
          <w:rFonts w:hint="eastAsia" w:ascii="仿宋_GB2312" w:hAnsi="仿宋_GB2312" w:eastAsia="仿宋_GB2312" w:cs="仿宋_GB2312"/>
          <w:b/>
          <w:bCs/>
          <w:snapToGrid w:val="0"/>
          <w:spacing w:val="30"/>
          <w:kern w:val="52"/>
          <w:sz w:val="72"/>
          <w:szCs w:val="72"/>
        </w:rPr>
        <w:t>租赁合同</w:t>
      </w:r>
    </w:p>
    <w:p w14:paraId="001C4AAF">
      <w:pPr>
        <w:jc w:val="center"/>
        <w:rPr>
          <w:rFonts w:ascii="仿宋_GB2312" w:eastAsia="仿宋_GB2312"/>
          <w:b/>
          <w:sz w:val="44"/>
          <w:szCs w:val="44"/>
        </w:rPr>
      </w:pPr>
    </w:p>
    <w:p w14:paraId="5869C66F">
      <w:pPr>
        <w:jc w:val="center"/>
        <w:rPr>
          <w:rFonts w:ascii="仿宋_GB2312" w:eastAsia="仿宋_GB2312"/>
          <w:b/>
          <w:sz w:val="44"/>
          <w:szCs w:val="44"/>
        </w:rPr>
      </w:pPr>
    </w:p>
    <w:p w14:paraId="6CEE6644">
      <w:pPr>
        <w:jc w:val="center"/>
        <w:rPr>
          <w:rFonts w:ascii="仿宋_GB2312" w:hAnsi="仿宋_GB2312" w:eastAsia="仿宋_GB2312" w:cs="仿宋_GB2312"/>
          <w:sz w:val="44"/>
          <w:szCs w:val="44"/>
        </w:rPr>
      </w:pPr>
    </w:p>
    <w:p w14:paraId="10D6340B">
      <w:pPr>
        <w:ind w:left="420" w:firstLine="420"/>
        <w:jc w:val="center"/>
        <w:rPr>
          <w:rFonts w:ascii="仿宋_GB2312" w:hAnsi="仿宋_GB2312" w:eastAsia="仿宋_GB2312" w:cs="仿宋_GB2312"/>
          <w:b/>
          <w:sz w:val="44"/>
          <w:szCs w:val="44"/>
          <w:lang w:val="en-GB"/>
        </w:rPr>
      </w:pPr>
    </w:p>
    <w:p w14:paraId="430D1C83">
      <w:pPr>
        <w:spacing w:line="700" w:lineRule="exact"/>
        <w:ind w:firstLine="1681" w:firstLineChars="558"/>
        <w:rPr>
          <w:rFonts w:hint="eastAsia" w:ascii="仿宋_GB2312" w:hAnsi="仿宋_GB2312" w:eastAsia="仿宋_GB2312" w:cs="仿宋_GB2312"/>
          <w:b/>
          <w:sz w:val="30"/>
          <w:szCs w:val="30"/>
          <w:u w:val="single"/>
          <w:lang w:eastAsia="zh-CN"/>
        </w:rPr>
      </w:pPr>
      <w:r>
        <w:rPr>
          <w:rFonts w:hint="eastAsia" w:ascii="仿宋_GB2312" w:hAnsi="仿宋_GB2312" w:eastAsia="仿宋_GB2312" w:cs="仿宋_GB2312"/>
          <w:b/>
          <w:sz w:val="30"/>
          <w:szCs w:val="30"/>
        </w:rPr>
        <w:t>甲方（</w:t>
      </w:r>
      <w:r>
        <w:rPr>
          <w:rFonts w:hint="eastAsia" w:ascii="仿宋_GB2312" w:hAnsi="仿宋_GB2312" w:eastAsia="仿宋_GB2312" w:cs="仿宋_GB2312"/>
          <w:b/>
          <w:sz w:val="30"/>
          <w:szCs w:val="30"/>
          <w:lang w:eastAsia="zh-Hans"/>
        </w:rPr>
        <w:t>出租方）</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szCs w:val="30"/>
          <w:u w:val="single"/>
          <w:lang w:eastAsia="zh-CN"/>
        </w:rPr>
        <w:t>广州南沙科技投资有限公司</w:t>
      </w:r>
    </w:p>
    <w:p w14:paraId="690BA601">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乙方（</w:t>
      </w:r>
      <w:r>
        <w:rPr>
          <w:rFonts w:hint="eastAsia" w:ascii="仿宋_GB2312" w:hAnsi="仿宋_GB2312" w:eastAsia="仿宋_GB2312" w:cs="仿宋_GB2312"/>
          <w:b/>
          <w:sz w:val="30"/>
          <w:szCs w:val="30"/>
          <w:lang w:eastAsia="zh-Hans"/>
        </w:rPr>
        <w:t>承租方）</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 </w:t>
      </w:r>
    </w:p>
    <w:p w14:paraId="7EEC5B16">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签</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订</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日</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期：</w:t>
      </w:r>
      <w:r>
        <w:rPr>
          <w:rFonts w:hint="eastAsia" w:ascii="仿宋_GB2312" w:hAnsi="仿宋_GB2312" w:eastAsia="仿宋_GB2312" w:cs="仿宋_GB2312"/>
          <w:b/>
          <w:sz w:val="30"/>
          <w:szCs w:val="30"/>
          <w:u w:val="single"/>
        </w:rPr>
        <w:t xml:space="preserve"> </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202</w:t>
      </w:r>
      <w:r>
        <w:rPr>
          <w:rFonts w:hint="eastAsia" w:ascii="仿宋_GB2312" w:hAnsi="仿宋_GB2312" w:eastAsia="仿宋_GB2312" w:cs="仿宋_GB2312"/>
          <w:b/>
          <w:sz w:val="30"/>
          <w:szCs w:val="30"/>
          <w:u w:val="single"/>
          <w:lang w:val="en-US" w:eastAsia="zh-CN"/>
        </w:rPr>
        <w:t>6</w:t>
      </w:r>
      <w:r>
        <w:rPr>
          <w:rFonts w:hint="eastAsia" w:ascii="仿宋_GB2312" w:hAnsi="仿宋_GB2312" w:eastAsia="仿宋_GB2312" w:cs="仿宋_GB2312"/>
          <w:b/>
          <w:sz w:val="30"/>
          <w:szCs w:val="30"/>
          <w:u w:val="single"/>
        </w:rPr>
        <w:t xml:space="preserve">年   月    日     </w:t>
      </w:r>
      <w:r>
        <w:rPr>
          <w:rFonts w:hint="eastAsia" w:ascii="仿宋_GB2312" w:hAnsi="仿宋_GB2312" w:eastAsia="仿宋_GB2312" w:cs="仿宋_GB2312"/>
          <w:b/>
          <w:sz w:val="30"/>
          <w:szCs w:val="30"/>
        </w:rPr>
        <w:t xml:space="preserve">                </w:t>
      </w:r>
      <w:r>
        <w:rPr>
          <w:rFonts w:hint="eastAsia" w:ascii="仿宋_GB2312" w:hAnsi="仿宋_GB2312" w:eastAsia="仿宋_GB2312" w:cs="仿宋_GB2312"/>
          <w:b/>
          <w:sz w:val="30"/>
          <w:szCs w:val="30"/>
          <w:u w:val="single"/>
        </w:rPr>
        <w:t xml:space="preserve">           </w:t>
      </w:r>
    </w:p>
    <w:p w14:paraId="4C6F5C51">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合</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同</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签</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署</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地：</w:t>
      </w:r>
      <w:bookmarkStart w:id="1" w:name="_Hlk106098083"/>
      <w:r>
        <w:rPr>
          <w:rFonts w:hint="eastAsia" w:ascii="仿宋_GB2312" w:hAnsi="仿宋_GB2312" w:eastAsia="仿宋_GB2312" w:cs="仿宋_GB2312"/>
          <w:b/>
          <w:sz w:val="30"/>
          <w:szCs w:val="30"/>
          <w:u w:val="single"/>
        </w:rPr>
        <w:t xml:space="preserve">    </w:t>
      </w:r>
      <w:bookmarkEnd w:id="1"/>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广州市南沙区</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    </w:t>
      </w:r>
    </w:p>
    <w:p w14:paraId="67357D0B">
      <w:pPr>
        <w:spacing w:line="700" w:lineRule="exact"/>
        <w:ind w:firstLine="1681" w:firstLineChars="558"/>
        <w:rPr>
          <w:rFonts w:ascii="楷体_GB2312" w:eastAsia="楷体_GB2312"/>
          <w:b/>
          <w:sz w:val="30"/>
          <w:szCs w:val="30"/>
          <w:u w:val="single"/>
        </w:rPr>
      </w:pPr>
    </w:p>
    <w:p w14:paraId="0A0B053D">
      <w:pPr>
        <w:spacing w:line="700" w:lineRule="exact"/>
        <w:ind w:firstLine="0" w:firstLineChars="0"/>
        <w:rPr>
          <w:rFonts w:hint="eastAsia" w:ascii="楷体_GB2312" w:eastAsia="楷体_GB2312"/>
          <w:b/>
          <w:sz w:val="30"/>
          <w:szCs w:val="30"/>
          <w:u w:val="single"/>
          <w:lang w:eastAsia="zh-CN"/>
        </w:rPr>
      </w:pPr>
      <w:r>
        <w:rPr>
          <w:rFonts w:hint="eastAsia" w:ascii="楷体_GB2312" w:eastAsia="楷体_GB2312"/>
          <w:b/>
          <w:sz w:val="30"/>
          <w:szCs w:val="30"/>
          <w:u w:val="none"/>
          <w:lang w:eastAsia="zh-CN"/>
        </w:rPr>
        <w:t>（</w:t>
      </w:r>
      <w:r>
        <w:rPr>
          <w:rFonts w:ascii="宋体" w:hAnsi="宋体" w:eastAsia="宋体" w:cs="宋体"/>
          <w:sz w:val="24"/>
          <w:szCs w:val="24"/>
        </w:rPr>
        <w:t>注：本合同为参考范本，核心交易条件以招租公告、中标通知书为准，最终以正式签约文本为准。</w:t>
      </w:r>
      <w:r>
        <w:rPr>
          <w:rFonts w:hint="eastAsia" w:ascii="楷体_GB2312" w:eastAsia="楷体_GB2312"/>
          <w:b/>
          <w:sz w:val="30"/>
          <w:szCs w:val="30"/>
          <w:u w:val="none"/>
          <w:lang w:eastAsia="zh-CN"/>
        </w:rPr>
        <w:t>）</w:t>
      </w:r>
    </w:p>
    <w:p w14:paraId="63D49A66">
      <w:pPr>
        <w:spacing w:line="700" w:lineRule="exact"/>
        <w:ind w:firstLine="1681" w:firstLineChars="558"/>
        <w:rPr>
          <w:rFonts w:ascii="楷体_GB2312" w:eastAsia="楷体_GB2312"/>
          <w:b/>
          <w:sz w:val="30"/>
          <w:szCs w:val="30"/>
          <w:u w:val="single"/>
        </w:rPr>
      </w:pPr>
    </w:p>
    <w:p w14:paraId="6E341F75">
      <w:pPr>
        <w:spacing w:line="700" w:lineRule="exact"/>
        <w:rPr>
          <w:rFonts w:ascii="楷体_GB2312" w:eastAsia="楷体_GB2312"/>
          <w:b/>
          <w:sz w:val="30"/>
          <w:szCs w:val="30"/>
          <w:u w:val="single"/>
        </w:rPr>
      </w:pPr>
    </w:p>
    <w:p w14:paraId="60A7B4A0">
      <w:pPr>
        <w:pStyle w:val="7"/>
        <w:snapToGrid w:val="0"/>
        <w:spacing w:before="0" w:beforeAutospacing="0" w:after="0" w:afterAutospacing="0" w:line="520" w:lineRule="exact"/>
        <w:rPr>
          <w:rFonts w:ascii="仿宋" w:hAnsi="仿宋" w:eastAsia="仿宋" w:cs="仿宋"/>
          <w:bCs/>
          <w:sz w:val="28"/>
          <w:szCs w:val="28"/>
        </w:rPr>
      </w:pPr>
    </w:p>
    <w:p w14:paraId="7012FB27">
      <w:pPr>
        <w:pStyle w:val="7"/>
        <w:snapToGrid w:val="0"/>
        <w:spacing w:before="0" w:beforeAutospacing="0" w:after="0" w:afterAutospacing="0" w:line="520" w:lineRule="exact"/>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甲方（出租方）：</w:t>
      </w:r>
      <w:r>
        <w:rPr>
          <w:rFonts w:hint="eastAsia" w:ascii="仿宋" w:hAnsi="仿宋" w:eastAsia="仿宋" w:cs="仿宋"/>
          <w:bCs/>
          <w:sz w:val="28"/>
          <w:szCs w:val="28"/>
          <w:lang w:eastAsia="zh-CN"/>
        </w:rPr>
        <w:t>广州南沙科技投资有限公司</w:t>
      </w:r>
    </w:p>
    <w:p w14:paraId="1CC95856">
      <w:pPr>
        <w:pStyle w:val="7"/>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地址：</w:t>
      </w:r>
      <w:r>
        <w:rPr>
          <w:rFonts w:hint="eastAsia" w:ascii="仿宋" w:hAnsi="仿宋" w:eastAsia="仿宋" w:cs="仿宋"/>
          <w:bCs/>
          <w:sz w:val="28"/>
          <w:szCs w:val="28"/>
        </w:rPr>
        <w:t>广州市南沙区海滨路171号1806室</w:t>
      </w:r>
    </w:p>
    <w:p w14:paraId="293E8993">
      <w:pPr>
        <w:pStyle w:val="7"/>
        <w:snapToGrid w:val="0"/>
        <w:spacing w:before="0" w:beforeAutospacing="0" w:after="0" w:afterAutospacing="0" w:line="520" w:lineRule="exact"/>
        <w:ind w:left="1260" w:hanging="690"/>
        <w:rPr>
          <w:rFonts w:ascii="仿宋" w:hAnsi="仿宋" w:eastAsia="仿宋" w:cs="仿宋"/>
          <w:bCs/>
          <w:sz w:val="28"/>
          <w:szCs w:val="28"/>
        </w:rPr>
      </w:pPr>
      <w:r>
        <w:rPr>
          <w:rFonts w:hint="eastAsia" w:ascii="仿宋" w:hAnsi="仿宋" w:eastAsia="仿宋" w:cs="仿宋"/>
          <w:bCs/>
          <w:sz w:val="28"/>
          <w:szCs w:val="28"/>
        </w:rPr>
        <w:t>营业执照号：</w:t>
      </w:r>
      <w:r>
        <w:rPr>
          <w:rFonts w:hint="eastAsia" w:ascii="仿宋" w:hAnsi="仿宋" w:eastAsia="仿宋" w:cs="仿宋"/>
          <w:bCs/>
          <w:sz w:val="28"/>
          <w:szCs w:val="28"/>
          <w:lang w:eastAsia="zh-CN"/>
        </w:rPr>
        <w:t>91440101751997454A</w:t>
      </w:r>
      <w:r>
        <w:rPr>
          <w:rFonts w:hint="eastAsia" w:ascii="仿宋" w:hAnsi="仿宋" w:eastAsia="仿宋" w:cs="仿宋"/>
          <w:bCs/>
          <w:sz w:val="28"/>
          <w:szCs w:val="28"/>
        </w:rPr>
        <w:t xml:space="preserve">             </w:t>
      </w:r>
    </w:p>
    <w:p w14:paraId="5F30A318">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 xml:space="preserve">法定（授权）代表人： </w:t>
      </w:r>
    </w:p>
    <w:p w14:paraId="67EDAFA0">
      <w:pPr>
        <w:pStyle w:val="7"/>
        <w:snapToGrid w:val="0"/>
        <w:spacing w:before="0" w:beforeAutospacing="0" w:after="0" w:afterAutospacing="0" w:line="520" w:lineRule="exact"/>
        <w:ind w:firstLine="570"/>
        <w:rPr>
          <w:rFonts w:ascii="仿宋" w:hAnsi="仿宋" w:eastAsia="仿宋" w:cs="仿宋"/>
          <w:bCs/>
          <w:sz w:val="28"/>
          <w:szCs w:val="28"/>
        </w:rPr>
      </w:pPr>
    </w:p>
    <w:p w14:paraId="24777A26">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乙方（承租方）：</w:t>
      </w:r>
      <w:r>
        <w:rPr>
          <w:rFonts w:ascii="仿宋" w:hAnsi="仿宋" w:eastAsia="仿宋" w:cs="仿宋"/>
          <w:bCs/>
          <w:sz w:val="28"/>
          <w:szCs w:val="28"/>
        </w:rPr>
        <w:t xml:space="preserve"> </w:t>
      </w:r>
    </w:p>
    <w:p w14:paraId="1695C24C">
      <w:pPr>
        <w:pStyle w:val="7"/>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 xml:space="preserve">地址： </w:t>
      </w:r>
    </w:p>
    <w:p w14:paraId="0A4BA3D2">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 xml:space="preserve">营业执照号： </w:t>
      </w:r>
    </w:p>
    <w:p w14:paraId="12D86A56">
      <w:pPr>
        <w:pStyle w:val="7"/>
        <w:snapToGrid w:val="0"/>
        <w:spacing w:before="0" w:beforeAutospacing="0" w:after="0" w:afterAutospacing="0" w:line="520" w:lineRule="exact"/>
        <w:ind w:firstLine="570"/>
        <w:rPr>
          <w:rFonts w:ascii="仿宋" w:hAnsi="仿宋" w:eastAsia="仿宋" w:cs="仿宋"/>
          <w:bCs/>
          <w:sz w:val="28"/>
          <w:szCs w:val="28"/>
        </w:rPr>
      </w:pPr>
    </w:p>
    <w:p w14:paraId="13741DD1">
      <w:pPr>
        <w:spacing w:line="360" w:lineRule="auto"/>
        <w:ind w:firstLine="562" w:firstLineChars="200"/>
        <w:textAlignment w:val="baseline"/>
        <w:rPr>
          <w:rFonts w:ascii="仿宋" w:hAnsi="仿宋" w:eastAsia="仿宋" w:cs="仿宋"/>
          <w:bCs/>
          <w:sz w:val="28"/>
          <w:szCs w:val="28"/>
        </w:rPr>
      </w:pPr>
      <w:r>
        <w:rPr>
          <w:rFonts w:hint="eastAsia" w:ascii="仿宋_GB2312" w:hAnsi="仿宋_GB2312" w:eastAsia="仿宋_GB2312" w:cs="仿宋_GB2312"/>
          <w:b/>
          <w:bCs/>
          <w:sz w:val="28"/>
          <w:szCs w:val="28"/>
        </w:rPr>
        <w:t>本合同内容为甲乙双方协商一致确定，双方确定本合同的每一条款均已详细认真阅读。双方确认本合同不存在显失公平或其他可撤销的情形。</w:t>
      </w:r>
    </w:p>
    <w:p w14:paraId="68A893B8">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根据《中华人民共和国</w:t>
      </w:r>
      <w:r>
        <w:rPr>
          <w:rFonts w:hint="eastAsia" w:ascii="仿宋" w:hAnsi="仿宋" w:eastAsia="仿宋" w:cs="仿宋"/>
          <w:bCs/>
          <w:sz w:val="28"/>
          <w:szCs w:val="28"/>
          <w:lang w:eastAsia="zh-Hans"/>
        </w:rPr>
        <w:t>民法典</w:t>
      </w:r>
      <w:r>
        <w:rPr>
          <w:rFonts w:hint="eastAsia" w:ascii="仿宋" w:hAnsi="仿宋" w:eastAsia="仿宋" w:cs="仿宋"/>
          <w:bCs/>
          <w:sz w:val="28"/>
          <w:szCs w:val="28"/>
        </w:rPr>
        <w:t>》及相关法律法规的规定，甲、乙双方在平等、自愿的基础上，就乙方承租甲方的物业用于</w:t>
      </w:r>
      <w:r>
        <w:rPr>
          <w:rFonts w:hint="eastAsia" w:ascii="仿宋" w:hAnsi="仿宋" w:eastAsia="仿宋" w:cs="仿宋"/>
          <w:bCs/>
          <w:sz w:val="28"/>
          <w:szCs w:val="28"/>
          <w:u w:val="single"/>
        </w:rPr>
        <w:t xml:space="preserve"> 办公、住宿</w:t>
      </w:r>
      <w:r>
        <w:rPr>
          <w:rFonts w:ascii="仿宋" w:hAnsi="仿宋" w:eastAsia="仿宋" w:cs="仿宋"/>
          <w:bCs/>
          <w:sz w:val="28"/>
          <w:szCs w:val="28"/>
          <w:u w:val="single"/>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一事达成一致意见，为明确双方权利义务，经友好协商，订立本合同以资共同遵守。</w:t>
      </w:r>
    </w:p>
    <w:p w14:paraId="2637EDE9">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sz w:val="28"/>
          <w:szCs w:val="28"/>
        </w:rPr>
        <w:t>租赁物业概况</w:t>
      </w:r>
    </w:p>
    <w:p w14:paraId="4AAEC4FB">
      <w:pPr>
        <w:pStyle w:val="7"/>
        <w:tabs>
          <w:tab w:val="left" w:pos="1080"/>
        </w:tabs>
        <w:snapToGrid w:val="0"/>
        <w:spacing w:before="0" w:beforeAutospacing="0" w:after="0" w:afterAutospacing="0" w:line="520" w:lineRule="exact"/>
        <w:ind w:firstLine="560" w:firstLineChars="20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（一）乙方向甲方承租的物业位于广州市南沙区珠江街道前锋社区一涌</w:t>
      </w:r>
      <w:r>
        <w:rPr>
          <w:rFonts w:hint="eastAsia" w:ascii="仿宋_GB2312" w:hAnsi="仿宋_GB2312" w:eastAsia="仿宋_GB2312" w:cs="仿宋_GB2312"/>
          <w:kern w:val="2"/>
          <w:sz w:val="28"/>
          <w:szCs w:val="28"/>
          <w:lang w:eastAsia="zh-CN"/>
        </w:rPr>
        <w:t>新中一街</w:t>
      </w:r>
      <w:r>
        <w:rPr>
          <w:rFonts w:hint="eastAsia" w:ascii="仿宋_GB2312" w:hAnsi="仿宋_GB2312" w:eastAsia="仿宋_GB2312" w:cs="仿宋_GB2312"/>
          <w:kern w:val="2"/>
          <w:sz w:val="28"/>
          <w:szCs w:val="28"/>
        </w:rPr>
        <w:t>共计1</w:t>
      </w:r>
      <w:r>
        <w:rPr>
          <w:rFonts w:hint="eastAsia" w:ascii="仿宋_GB2312" w:hAnsi="仿宋_GB2312" w:eastAsia="仿宋_GB2312" w:cs="仿宋_GB2312"/>
          <w:kern w:val="2"/>
          <w:sz w:val="28"/>
          <w:szCs w:val="28"/>
          <w:lang w:val="en-US" w:eastAsia="zh-CN"/>
        </w:rPr>
        <w:t>3</w:t>
      </w:r>
      <w:r>
        <w:rPr>
          <w:rFonts w:hint="eastAsia" w:ascii="仿宋_GB2312" w:hAnsi="仿宋_GB2312" w:eastAsia="仿宋_GB2312" w:cs="仿宋_GB2312"/>
          <w:kern w:val="2"/>
          <w:sz w:val="28"/>
          <w:szCs w:val="28"/>
        </w:rPr>
        <w:t>宗物业</w:t>
      </w:r>
      <w:r>
        <w:rPr>
          <w:rFonts w:hint="eastAsia" w:ascii="仿宋_GB2312" w:hAnsi="仿宋_GB2312" w:eastAsia="仿宋_GB2312" w:cs="仿宋_GB2312"/>
          <w:kern w:val="2"/>
          <w:sz w:val="28"/>
          <w:szCs w:val="28"/>
          <w:lang w:eastAsia="zh-CN"/>
        </w:rPr>
        <w:t>（详见附件</w:t>
      </w:r>
      <w:r>
        <w:rPr>
          <w:rFonts w:hint="eastAsia" w:ascii="仿宋_GB2312" w:hAnsi="仿宋_GB2312" w:eastAsia="仿宋_GB2312" w:cs="仿宋_GB2312"/>
          <w:kern w:val="2"/>
          <w:sz w:val="28"/>
          <w:szCs w:val="28"/>
          <w:lang w:val="en-US" w:eastAsia="zh-CN"/>
        </w:rPr>
        <w:t>3</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，以下简称租赁物业。</w:t>
      </w:r>
      <w:bookmarkStart w:id="5" w:name="_GoBack"/>
      <w:bookmarkEnd w:id="5"/>
    </w:p>
    <w:p w14:paraId="2DC7BA02">
      <w:pPr>
        <w:spacing w:line="360" w:lineRule="auto"/>
        <w:ind w:firstLine="560" w:firstLineChars="20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（二）本合同租赁物业面积合计</w:t>
      </w:r>
      <w:r>
        <w:rPr>
          <w:rFonts w:hint="eastAsia" w:ascii="仿宋_GB2312" w:hAnsi="仿宋_GB2312" w:eastAsia="仿宋_GB2312" w:cs="仿宋_GB2312"/>
          <w:sz w:val="28"/>
          <w:szCs w:val="28"/>
          <w:lang w:eastAsia="zh-CN"/>
        </w:rPr>
        <w:t>1265.08</w:t>
      </w:r>
      <w:r>
        <w:rPr>
          <w:rFonts w:hint="eastAsia" w:ascii="仿宋_GB2312" w:hAnsi="仿宋_GB2312" w:eastAsia="仿宋_GB2312" w:cs="仿宋_GB2312"/>
          <w:sz w:val="28"/>
          <w:szCs w:val="28"/>
        </w:rPr>
        <w:t>平方米。</w:t>
      </w:r>
    </w:p>
    <w:p w14:paraId="6237BCFC">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(三) 甲方享有租赁物业的所有权，但暂未办理产权证，不能办理租赁备案，乙方在签署本合同时已充分且明确知悉租赁物业的权属及权利状态等情况，如乙方经营需要办理消防验收,须自行出资办理，并承担相应的安全生产责任。</w:t>
      </w:r>
    </w:p>
    <w:p w14:paraId="0F59FCB8">
      <w:pPr>
        <w:pStyle w:val="7"/>
        <w:numPr>
          <w:ilvl w:val="0"/>
          <w:numId w:val="1"/>
        </w:numPr>
        <w:snapToGrid w:val="0"/>
        <w:spacing w:before="0" w:beforeAutospacing="0" w:after="0" w:afterAutospacing="0" w:line="520" w:lineRule="exact"/>
        <w:rPr>
          <w:rFonts w:ascii="仿宋" w:hAnsi="仿宋" w:eastAsia="仿宋" w:cs="仿宋"/>
          <w:bCs/>
          <w:sz w:val="28"/>
          <w:szCs w:val="28"/>
        </w:rPr>
      </w:pPr>
      <w:r>
        <w:rPr>
          <w:rFonts w:hint="eastAsia" w:ascii="仿宋" w:hAnsi="仿宋" w:eastAsia="仿宋" w:cs="仿宋"/>
          <w:b/>
          <w:sz w:val="28"/>
          <w:szCs w:val="28"/>
        </w:rPr>
        <w:t>使用期限、用途、装修期</w:t>
      </w:r>
    </w:p>
    <w:p w14:paraId="0A40EB46">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（一）</w:t>
      </w:r>
      <w:r>
        <w:rPr>
          <w:rFonts w:hint="eastAsia" w:ascii="仿宋" w:hAnsi="仿宋" w:eastAsia="仿宋" w:cs="仿宋"/>
          <w:bCs/>
          <w:sz w:val="28"/>
          <w:szCs w:val="28"/>
          <w:u w:val="single"/>
        </w:rPr>
        <w:t>本合同租赁期限为</w:t>
      </w:r>
      <w:r>
        <w:rPr>
          <w:rFonts w:hint="eastAsia" w:ascii="仿宋" w:hAnsi="仿宋" w:eastAsia="仿宋" w:cs="仿宋"/>
          <w:bCs/>
          <w:sz w:val="28"/>
          <w:szCs w:val="28"/>
          <w:u w:val="single"/>
          <w:lang w:eastAsia="zh-CN"/>
        </w:rPr>
        <w:t>6个月</w:t>
      </w:r>
      <w:r>
        <w:rPr>
          <w:rFonts w:hint="eastAsia" w:ascii="仿宋" w:hAnsi="仿宋" w:eastAsia="仿宋" w:cs="仿宋"/>
          <w:bCs/>
          <w:sz w:val="28"/>
          <w:szCs w:val="28"/>
          <w:u w:val="single"/>
        </w:rPr>
        <w:t>，从 202</w:t>
      </w:r>
      <w:r>
        <w:rPr>
          <w:rFonts w:hint="eastAsia" w:ascii="仿宋" w:hAnsi="仿宋" w:eastAsia="仿宋" w:cs="仿宋"/>
          <w:bCs/>
          <w:sz w:val="28"/>
          <w:szCs w:val="28"/>
          <w:u w:val="single"/>
          <w:lang w:val="en-US" w:eastAsia="zh-CN"/>
        </w:rPr>
        <w:t>6</w:t>
      </w:r>
      <w:r>
        <w:rPr>
          <w:rFonts w:hint="eastAsia" w:ascii="仿宋" w:hAnsi="仿宋" w:eastAsia="仿宋" w:cs="仿宋"/>
          <w:bCs/>
          <w:sz w:val="28"/>
          <w:szCs w:val="28"/>
          <w:u w:val="single"/>
        </w:rPr>
        <w:t>年11月</w:t>
      </w:r>
      <w:r>
        <w:rPr>
          <w:rFonts w:hint="eastAsia" w:ascii="仿宋" w:hAnsi="仿宋" w:eastAsia="仿宋" w:cs="仿宋"/>
          <w:bCs/>
          <w:sz w:val="28"/>
          <w:szCs w:val="28"/>
          <w:u w:val="single"/>
          <w:lang w:val="en-US" w:eastAsia="zh-CN"/>
        </w:rPr>
        <w:t>1</w:t>
      </w:r>
      <w:r>
        <w:rPr>
          <w:rFonts w:hint="eastAsia" w:ascii="仿宋" w:hAnsi="仿宋" w:eastAsia="仿宋" w:cs="仿宋"/>
          <w:bCs/>
          <w:sz w:val="28"/>
          <w:szCs w:val="28"/>
          <w:u w:val="single"/>
        </w:rPr>
        <w:t>日起至202</w:t>
      </w:r>
      <w:r>
        <w:rPr>
          <w:rFonts w:hint="eastAsia" w:ascii="仿宋" w:hAnsi="仿宋" w:eastAsia="仿宋" w:cs="仿宋"/>
          <w:bCs/>
          <w:sz w:val="28"/>
          <w:szCs w:val="28"/>
          <w:u w:val="single"/>
          <w:lang w:val="en-US" w:eastAsia="zh-CN"/>
        </w:rPr>
        <w:t>7</w:t>
      </w:r>
      <w:r>
        <w:rPr>
          <w:rFonts w:hint="eastAsia" w:ascii="仿宋" w:hAnsi="仿宋" w:eastAsia="仿宋" w:cs="仿宋"/>
          <w:bCs/>
          <w:sz w:val="28"/>
          <w:szCs w:val="28"/>
          <w:u w:val="single"/>
        </w:rPr>
        <w:t>年</w:t>
      </w:r>
      <w:r>
        <w:rPr>
          <w:rFonts w:hint="eastAsia" w:ascii="仿宋" w:hAnsi="仿宋" w:eastAsia="仿宋" w:cs="仿宋"/>
          <w:bCs/>
          <w:sz w:val="28"/>
          <w:szCs w:val="28"/>
          <w:u w:val="single"/>
          <w:lang w:val="en-US" w:eastAsia="zh-CN"/>
        </w:rPr>
        <w:t>4</w:t>
      </w:r>
      <w:r>
        <w:rPr>
          <w:rFonts w:hint="eastAsia" w:ascii="仿宋" w:hAnsi="仿宋" w:eastAsia="仿宋" w:cs="仿宋"/>
          <w:bCs/>
          <w:sz w:val="28"/>
          <w:szCs w:val="28"/>
          <w:u w:val="single"/>
        </w:rPr>
        <w:t>月31日，</w:t>
      </w:r>
      <w:r>
        <w:rPr>
          <w:rFonts w:hint="eastAsia" w:ascii="仿宋" w:hAnsi="仿宋" w:eastAsia="仿宋" w:cs="仿宋"/>
          <w:bCs/>
          <w:sz w:val="28"/>
          <w:szCs w:val="28"/>
        </w:rPr>
        <w:t>租赁期届满，如乙方拟继续使用租赁物业且甲方同意的，双方就续租事宜另行签署补充协议。</w:t>
      </w:r>
    </w:p>
    <w:p w14:paraId="778E9A64">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（二）本合同租赁物业用途为</w:t>
      </w:r>
      <w:r>
        <w:rPr>
          <w:rFonts w:hint="eastAsia" w:ascii="仿宋" w:hAnsi="仿宋" w:eastAsia="仿宋" w:cs="仿宋"/>
          <w:bCs/>
          <w:sz w:val="28"/>
          <w:szCs w:val="28"/>
          <w:lang w:eastAsia="zh-CN"/>
        </w:rPr>
        <w:t>：</w:t>
      </w:r>
      <w:r>
        <w:rPr>
          <w:rFonts w:hint="eastAsia" w:ascii="仿宋" w:hAnsi="仿宋" w:eastAsia="仿宋" w:cs="仿宋"/>
          <w:bCs/>
          <w:sz w:val="28"/>
          <w:szCs w:val="28"/>
          <w:u w:val="single"/>
          <w:lang w:eastAsia="zh-CN"/>
        </w:rPr>
        <w:t>仅</w:t>
      </w:r>
      <w:r>
        <w:rPr>
          <w:rFonts w:hint="eastAsia" w:ascii="仿宋" w:hAnsi="仿宋" w:eastAsia="仿宋" w:cs="仿宋"/>
          <w:bCs/>
          <w:sz w:val="28"/>
          <w:szCs w:val="28"/>
          <w:u w:val="single"/>
        </w:rPr>
        <w:t>用于办公和住宿</w:t>
      </w:r>
      <w:r>
        <w:rPr>
          <w:rFonts w:hint="eastAsia" w:ascii="仿宋" w:hAnsi="仿宋" w:eastAsia="仿宋" w:cs="仿宋"/>
          <w:bCs/>
          <w:sz w:val="28"/>
          <w:szCs w:val="28"/>
        </w:rPr>
        <w:t>，非经甲方书面同意，乙方不得改变用途。不得从事非法活动，包括但不限于利用房屋从事黄、赌、毒、电信诈骗、传销、存储危化品及其他等一切违法犯罪活动。</w:t>
      </w:r>
    </w:p>
    <w:p w14:paraId="4289D658">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（三）未经过甲方书面同意，乙方不得对租赁物业进行转租和分租；否则甲方有权立即解除合同，收回租赁物业，没收押金并要求乙方将租赁物业恢复原状并赔偿甲方的损失。</w:t>
      </w:r>
    </w:p>
    <w:p w14:paraId="265C3853">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bCs w:val="0"/>
          <w:sz w:val="28"/>
          <w:szCs w:val="28"/>
        </w:rPr>
        <w:t>租金、物业管理费、水电费</w:t>
      </w:r>
    </w:p>
    <w:p w14:paraId="1B1650CE">
      <w:pPr>
        <w:pStyle w:val="7"/>
        <w:keepNext w:val="0"/>
        <w:keepLines w:val="0"/>
        <w:widowControl/>
        <w:suppressLineNumbers w:val="0"/>
        <w:tabs>
          <w:tab w:val="left" w:pos="1080"/>
        </w:tabs>
        <w:snapToGrid w:val="0"/>
        <w:spacing w:before="0" w:beforeAutospacing="0" w:after="0" w:afterAutospacing="0" w:line="520" w:lineRule="exact"/>
        <w:ind w:firstLine="560" w:firstLineChars="200"/>
        <w:jc w:val="both"/>
        <w:rPr>
          <w:rFonts w:hint="eastAsia" w:ascii="仿宋" w:hAnsi="仿宋" w:eastAsia="仿宋" w:cs="仿宋"/>
          <w:bCs/>
          <w:sz w:val="28"/>
          <w:szCs w:val="28"/>
        </w:rPr>
      </w:pPr>
      <w:r>
        <w:rPr>
          <w:rFonts w:hint="eastAsia" w:ascii="仿宋" w:hAnsi="仿宋" w:eastAsia="仿宋" w:cs="仿宋"/>
          <w:bCs/>
          <w:sz w:val="28"/>
          <w:szCs w:val="28"/>
        </w:rPr>
        <w:t>（一）本合同租赁期内的租金</w:t>
      </w:r>
      <w:r>
        <w:rPr>
          <w:rFonts w:hint="eastAsia" w:ascii="仿宋" w:hAnsi="仿宋" w:eastAsia="仿宋" w:cs="仿宋"/>
          <w:b/>
          <w:bCs w:val="0"/>
          <w:sz w:val="28"/>
          <w:szCs w:val="28"/>
        </w:rPr>
        <w:t>均价为人民币13.2 元/月/㎡，</w:t>
      </w:r>
      <w:r>
        <w:rPr>
          <w:rFonts w:hint="eastAsia" w:ascii="仿宋" w:hAnsi="仿宋" w:eastAsia="仿宋" w:cs="仿宋"/>
          <w:bCs/>
          <w:sz w:val="28"/>
          <w:szCs w:val="28"/>
        </w:rPr>
        <w:t>租赁期内，租金不设递增，本合同租赁期内的含税租金费用合计人民币100194.3</w:t>
      </w:r>
      <w:r>
        <w:rPr>
          <w:rFonts w:hint="eastAsia" w:ascii="仿宋" w:hAnsi="仿宋" w:eastAsia="仿宋" w:cs="仿宋"/>
          <w:bCs/>
          <w:sz w:val="28"/>
          <w:szCs w:val="28"/>
          <w:lang w:val="en-US" w:eastAsia="zh-CN"/>
        </w:rPr>
        <w:t>4</w:t>
      </w:r>
      <w:r>
        <w:rPr>
          <w:rFonts w:hint="eastAsia" w:ascii="仿宋" w:hAnsi="仿宋" w:eastAsia="仿宋" w:cs="仿宋"/>
          <w:bCs/>
          <w:sz w:val="28"/>
          <w:szCs w:val="28"/>
        </w:rPr>
        <w:t>元（大写：人民币</w:t>
      </w:r>
      <w:r>
        <w:rPr>
          <w:rFonts w:hint="eastAsia" w:ascii="仿宋" w:hAnsi="仿宋" w:eastAsia="仿宋" w:cs="仿宋"/>
          <w:bCs/>
          <w:sz w:val="28"/>
          <w:szCs w:val="28"/>
          <w:lang w:eastAsia="zh-CN"/>
        </w:rPr>
        <w:t>壹拾万零壹佰玖拾肆元叁角肆分</w:t>
      </w:r>
      <w:r>
        <w:rPr>
          <w:rFonts w:hint="eastAsia" w:ascii="仿宋" w:hAnsi="仿宋" w:eastAsia="仿宋" w:cs="仿宋"/>
          <w:bCs/>
          <w:sz w:val="28"/>
          <w:szCs w:val="28"/>
        </w:rPr>
        <w:t>。）其中，不含税金额：91921.4</w:t>
      </w:r>
      <w:r>
        <w:rPr>
          <w:rFonts w:hint="eastAsia" w:ascii="仿宋" w:hAnsi="仿宋" w:eastAsia="仿宋" w:cs="仿宋"/>
          <w:bCs/>
          <w:sz w:val="28"/>
          <w:szCs w:val="28"/>
          <w:lang w:val="en-US" w:eastAsia="zh-CN"/>
        </w:rPr>
        <w:t>1</w:t>
      </w:r>
      <w:r>
        <w:rPr>
          <w:rFonts w:hint="eastAsia" w:ascii="仿宋" w:hAnsi="仿宋" w:eastAsia="仿宋" w:cs="仿宋"/>
          <w:bCs/>
          <w:sz w:val="28"/>
          <w:szCs w:val="28"/>
        </w:rPr>
        <w:t>元；税率9%，税额8272.93元。价税合计每月租金为人民币 16699.06元/月（含税）。</w:t>
      </w:r>
    </w:p>
    <w:p w14:paraId="375D5960">
      <w:pPr>
        <w:pStyle w:val="7"/>
        <w:keepNext w:val="0"/>
        <w:keepLines w:val="0"/>
        <w:widowControl/>
        <w:suppressLineNumbers w:val="0"/>
        <w:tabs>
          <w:tab w:val="left" w:pos="1080"/>
        </w:tabs>
        <w:snapToGrid w:val="0"/>
        <w:spacing w:before="0" w:beforeAutospacing="0" w:after="0" w:afterAutospacing="0"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（二）上述租金不含管理费，本合同租赁期内的含税管理费为</w:t>
      </w:r>
      <w:r>
        <w:rPr>
          <w:rFonts w:hint="eastAsia" w:ascii="仿宋" w:hAnsi="仿宋" w:eastAsia="仿宋" w:cs="仿宋"/>
          <w:b/>
          <w:bCs w:val="0"/>
          <w:sz w:val="28"/>
          <w:szCs w:val="28"/>
        </w:rPr>
        <w:t>人民币 5元/月/㎡</w:t>
      </w:r>
      <w:r>
        <w:rPr>
          <w:rFonts w:hint="eastAsia" w:ascii="仿宋" w:hAnsi="仿宋" w:eastAsia="仿宋" w:cs="仿宋"/>
          <w:bCs/>
          <w:sz w:val="28"/>
          <w:szCs w:val="28"/>
        </w:rPr>
        <w:t>，租赁期内，管理费不设递增，本合同的含税管理费费用合计人民币37952.</w:t>
      </w:r>
      <w:r>
        <w:rPr>
          <w:rFonts w:hint="eastAsia" w:ascii="仿宋" w:hAnsi="仿宋" w:eastAsia="仿宋" w:cs="仿宋"/>
          <w:bCs/>
          <w:sz w:val="28"/>
          <w:szCs w:val="28"/>
          <w:lang w:val="en-US" w:eastAsia="zh-CN"/>
        </w:rPr>
        <w:t>40</w:t>
      </w:r>
      <w:r>
        <w:rPr>
          <w:rFonts w:hint="eastAsia" w:ascii="仿宋" w:hAnsi="仿宋" w:eastAsia="仿宋" w:cs="仿宋"/>
          <w:bCs/>
          <w:sz w:val="28"/>
          <w:szCs w:val="28"/>
        </w:rPr>
        <w:t>元（大写：人民币</w:t>
      </w:r>
      <w:r>
        <w:rPr>
          <w:rFonts w:hint="eastAsia" w:ascii="仿宋" w:hAnsi="仿宋" w:eastAsia="仿宋" w:cs="仿宋"/>
          <w:bCs/>
          <w:sz w:val="28"/>
          <w:szCs w:val="28"/>
          <w:lang w:eastAsia="zh-CN"/>
        </w:rPr>
        <w:t>叁万柒仟玖佰伍拾贰元肆角</w:t>
      </w:r>
      <w:r>
        <w:rPr>
          <w:rFonts w:hint="eastAsia" w:ascii="仿宋" w:hAnsi="仿宋" w:eastAsia="仿宋" w:cs="仿宋"/>
          <w:bCs/>
          <w:sz w:val="28"/>
          <w:szCs w:val="28"/>
        </w:rPr>
        <w:t>）其中，不含税金额：35804.15元；税率6%, 税额2148.2</w:t>
      </w:r>
      <w:r>
        <w:rPr>
          <w:rFonts w:hint="eastAsia" w:ascii="仿宋" w:hAnsi="仿宋" w:eastAsia="仿宋" w:cs="仿宋"/>
          <w:bCs/>
          <w:sz w:val="28"/>
          <w:szCs w:val="28"/>
          <w:lang w:val="en-US" w:eastAsia="zh-CN"/>
        </w:rPr>
        <w:t>5</w:t>
      </w:r>
      <w:r>
        <w:rPr>
          <w:rFonts w:hint="eastAsia" w:ascii="仿宋" w:hAnsi="仿宋" w:eastAsia="仿宋" w:cs="仿宋"/>
          <w:bCs/>
          <w:sz w:val="28"/>
          <w:szCs w:val="28"/>
        </w:rPr>
        <w:t>元。价税合计每月管理费为人民币6325.40元/月（含税）。</w:t>
      </w:r>
    </w:p>
    <w:p w14:paraId="6F392210">
      <w:pPr>
        <w:pStyle w:val="7"/>
        <w:keepNext w:val="0"/>
        <w:keepLines w:val="0"/>
        <w:widowControl/>
        <w:suppressLineNumbers w:val="0"/>
        <w:tabs>
          <w:tab w:val="left" w:pos="1080"/>
        </w:tabs>
        <w:snapToGrid w:val="0"/>
        <w:spacing w:before="0" w:beforeAutospacing="0" w:after="0" w:afterAutospacing="0"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（三）综上，本合同租赁期内价税合计总金额138146.74元，其中不含税金额127725.56元，税额10421.18元。甲方在确定上述租金标准时，已包含需由甲方依法支付的各种税费。</w:t>
      </w:r>
    </w:p>
    <w:p w14:paraId="3CA72F01">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（四）双方在签订租赁合同后10日内甲方开具合法等额的增值税专用发票给乙方，乙方收到发票后</w:t>
      </w:r>
      <w:r>
        <w:rPr>
          <w:rFonts w:hint="eastAsia" w:ascii="仿宋" w:hAnsi="仿宋" w:eastAsia="仿宋" w:cs="仿宋"/>
          <w:bCs/>
          <w:sz w:val="28"/>
          <w:szCs w:val="28"/>
          <w:lang w:val="en-US" w:eastAsia="zh-CN"/>
        </w:rPr>
        <w:t>10</w:t>
      </w:r>
      <w:r>
        <w:rPr>
          <w:rFonts w:hint="eastAsia" w:ascii="仿宋" w:hAnsi="仿宋" w:eastAsia="仿宋" w:cs="仿宋"/>
          <w:bCs/>
          <w:sz w:val="28"/>
          <w:szCs w:val="28"/>
        </w:rPr>
        <w:t>日内将本合同租金</w:t>
      </w:r>
      <w:r>
        <w:rPr>
          <w:rFonts w:hint="eastAsia" w:ascii="仿宋" w:hAnsi="仿宋" w:eastAsia="仿宋" w:cs="仿宋"/>
          <w:bCs/>
          <w:kern w:val="0"/>
          <w:sz w:val="28"/>
          <w:szCs w:val="28"/>
          <w:lang w:val="en-US" w:eastAsia="zh-CN"/>
        </w:rPr>
        <w:t>及管理费一并一次性</w:t>
      </w:r>
      <w:r>
        <w:rPr>
          <w:rFonts w:hint="eastAsia" w:ascii="仿宋" w:hAnsi="仿宋" w:eastAsia="仿宋" w:cs="仿宋"/>
          <w:bCs/>
          <w:sz w:val="28"/>
          <w:szCs w:val="28"/>
        </w:rPr>
        <w:t>支付到甲方的以下</w:t>
      </w:r>
      <w:r>
        <w:rPr>
          <w:rFonts w:hint="eastAsia" w:ascii="仿宋" w:hAnsi="仿宋" w:eastAsia="仿宋" w:cs="仿宋"/>
          <w:bCs/>
          <w:sz w:val="28"/>
          <w:szCs w:val="28"/>
        </w:rPr>
        <w:tab/>
      </w:r>
    </w:p>
    <w:p w14:paraId="4BB57AC4">
      <w:pPr>
        <w:adjustRightInd w:val="0"/>
        <w:snapToGrid w:val="0"/>
        <w:spacing w:line="52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户  名：</w:t>
      </w:r>
      <w:r>
        <w:rPr>
          <w:rFonts w:hint="eastAsia" w:ascii="仿宋" w:hAnsi="仿宋" w:eastAsia="仿宋" w:cs="仿宋"/>
          <w:sz w:val="28"/>
          <w:szCs w:val="28"/>
        </w:rPr>
        <w:t>广州南沙科技投资有限公司</w:t>
      </w:r>
    </w:p>
    <w:p w14:paraId="4032B91C">
      <w:pPr>
        <w:adjustRightInd w:val="0"/>
        <w:snapToGrid w:val="0"/>
        <w:spacing w:line="52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开户行：中国建设银行股份有限公司广州南沙开发区支行</w:t>
      </w:r>
    </w:p>
    <w:p w14:paraId="27AADA91">
      <w:pPr>
        <w:adjustRightInd w:val="0"/>
        <w:snapToGrid w:val="0"/>
        <w:spacing w:line="52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 xml:space="preserve">账  号：44001531405050035211   </w:t>
      </w:r>
    </w:p>
    <w:p w14:paraId="767DB8FB">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五）租赁期内，租赁物业所产生的水电等费用根据当地供水、供电等单位公布的现行收费标准收取(供水、供电如产生损耗，出租方有权合理公摊相关费用)，由承租方自行承担。如水、电价格调整，费用计算按公布的标准相应调整。具体金额以甲方发出的书面交费通知单为准，并由甲方提供合法等额的发票，乙方应当自收到甲方水、电费、排污费等交费通知后30日内支付</w:t>
      </w:r>
      <w:r>
        <w:rPr>
          <w:rFonts w:hint="eastAsia" w:ascii="仿宋" w:hAnsi="仿宋" w:eastAsia="仿宋" w:cs="仿宋"/>
          <w:sz w:val="28"/>
          <w:szCs w:val="28"/>
        </w:rPr>
        <w:t>到甲方的以下指定账户</w:t>
      </w:r>
      <w:r>
        <w:rPr>
          <w:rFonts w:hint="eastAsia" w:ascii="仿宋" w:hAnsi="仿宋" w:eastAsia="仿宋" w:cs="仿宋"/>
          <w:bCs/>
          <w:sz w:val="28"/>
          <w:szCs w:val="28"/>
        </w:rPr>
        <w:t>。</w:t>
      </w:r>
    </w:p>
    <w:p w14:paraId="1B98A3F5">
      <w:pPr>
        <w:adjustRightInd w:val="0"/>
        <w:snapToGrid w:val="0"/>
        <w:spacing w:line="52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户  名：</w:t>
      </w:r>
      <w:r>
        <w:rPr>
          <w:rFonts w:hint="eastAsia" w:ascii="仿宋" w:hAnsi="仿宋" w:eastAsia="仿宋" w:cs="仿宋"/>
          <w:sz w:val="28"/>
          <w:szCs w:val="28"/>
        </w:rPr>
        <w:t>广州南沙科技投资有限公司</w:t>
      </w:r>
    </w:p>
    <w:p w14:paraId="4F1BBA8D">
      <w:pPr>
        <w:adjustRightInd w:val="0"/>
        <w:snapToGrid w:val="0"/>
        <w:spacing w:line="52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开户行：中国建设银行股份有限公司广州南沙开发区支行</w:t>
      </w:r>
    </w:p>
    <w:p w14:paraId="4F1B3890">
      <w:pPr>
        <w:adjustRightInd w:val="0"/>
        <w:snapToGrid w:val="0"/>
        <w:spacing w:line="52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 xml:space="preserve">账  号：44001531405050035211   </w:t>
      </w:r>
    </w:p>
    <w:p w14:paraId="64349FF5">
      <w:pPr>
        <w:pStyle w:val="7"/>
        <w:numPr>
          <w:ilvl w:val="-1"/>
          <w:numId w:val="0"/>
        </w:numPr>
        <w:snapToGrid w:val="0"/>
        <w:spacing w:before="0" w:beforeAutospacing="0" w:after="0" w:afterAutospacing="0" w:line="520" w:lineRule="exact"/>
        <w:ind w:left="0" w:firstLine="560" w:firstLineChars="200"/>
        <w:rPr>
          <w:rFonts w:ascii="仿宋" w:hAnsi="仿宋" w:eastAsia="仿宋" w:cs="仿宋"/>
          <w:b/>
          <w:sz w:val="28"/>
          <w:szCs w:val="28"/>
        </w:rPr>
      </w:pPr>
      <w:r>
        <w:rPr>
          <w:rFonts w:hint="eastAsia" w:ascii="仿宋" w:hAnsi="仿宋" w:eastAsia="仿宋" w:cs="仿宋"/>
          <w:bCs/>
          <w:sz w:val="28"/>
          <w:szCs w:val="28"/>
        </w:rPr>
        <w:t>（六）</w:t>
      </w:r>
      <w:r>
        <w:rPr>
          <w:rFonts w:hint="eastAsia" w:ascii="仿宋" w:hAnsi="仿宋" w:eastAsia="仿宋" w:cs="仿宋"/>
          <w:bCs/>
          <w:sz w:val="28"/>
          <w:szCs w:val="28"/>
          <w:lang w:eastAsia="zh-Hans"/>
        </w:rPr>
        <w:t>本合同签订之日起</w:t>
      </w:r>
      <w:r>
        <w:rPr>
          <w:rFonts w:ascii="仿宋" w:hAnsi="仿宋" w:eastAsia="仿宋" w:cs="仿宋"/>
          <w:bCs/>
          <w:sz w:val="28"/>
          <w:szCs w:val="28"/>
        </w:rPr>
        <w:t>1</w:t>
      </w:r>
      <w:r>
        <w:rPr>
          <w:rFonts w:hint="eastAsia" w:ascii="仿宋" w:hAnsi="仿宋" w:eastAsia="仿宋" w:cs="仿宋"/>
          <w:bCs/>
          <w:sz w:val="28"/>
          <w:szCs w:val="28"/>
        </w:rPr>
        <w:t>0</w:t>
      </w:r>
      <w:r>
        <w:rPr>
          <w:rFonts w:hint="eastAsia" w:ascii="仿宋" w:hAnsi="仿宋" w:eastAsia="仿宋" w:cs="仿宋"/>
          <w:bCs/>
          <w:sz w:val="28"/>
          <w:szCs w:val="28"/>
          <w:lang w:eastAsia="zh-Hans"/>
        </w:rPr>
        <w:t>日内，乙方应当</w:t>
      </w:r>
      <w:r>
        <w:rPr>
          <w:rFonts w:hint="eastAsia" w:ascii="仿宋" w:hAnsi="仿宋" w:eastAsia="仿宋" w:cs="仿宋"/>
          <w:bCs/>
          <w:sz w:val="28"/>
          <w:szCs w:val="28"/>
        </w:rPr>
        <w:t>向甲方支付人民币</w:t>
      </w:r>
      <w:r>
        <w:rPr>
          <w:rFonts w:hint="eastAsia" w:ascii="仿宋" w:hAnsi="仿宋" w:eastAsia="仿宋" w:cs="仿宋"/>
          <w:bCs/>
          <w:kern w:val="2"/>
          <w:sz w:val="28"/>
          <w:szCs w:val="28"/>
          <w:u w:val="single"/>
        </w:rPr>
        <w:t xml:space="preserve"> 50000</w:t>
      </w:r>
      <w:r>
        <w:rPr>
          <w:rFonts w:ascii="仿宋" w:hAnsi="仿宋" w:eastAsia="仿宋" w:cs="仿宋"/>
          <w:bCs/>
          <w:kern w:val="2"/>
          <w:sz w:val="28"/>
          <w:szCs w:val="28"/>
          <w:u w:val="single"/>
        </w:rPr>
        <w:t xml:space="preserve">     </w:t>
      </w:r>
      <w:r>
        <w:rPr>
          <w:rFonts w:hint="eastAsia" w:ascii="仿宋" w:hAnsi="仿宋" w:eastAsia="仿宋" w:cs="仿宋"/>
          <w:bCs/>
          <w:sz w:val="28"/>
          <w:szCs w:val="28"/>
          <w:lang w:eastAsia="zh-Hans"/>
        </w:rPr>
        <w:t>元</w:t>
      </w:r>
      <w:r>
        <w:rPr>
          <w:rFonts w:hint="eastAsia" w:ascii="仿宋" w:hAnsi="仿宋" w:eastAsia="仿宋" w:cs="仿宋"/>
          <w:sz w:val="28"/>
          <w:szCs w:val="28"/>
        </w:rPr>
        <w:t>（大写：人民币</w:t>
      </w:r>
      <w:r>
        <w:rPr>
          <w:rFonts w:hint="eastAsia" w:ascii="仿宋" w:hAnsi="仿宋" w:eastAsia="仿宋" w:cs="仿宋"/>
          <w:sz w:val="28"/>
          <w:szCs w:val="28"/>
          <w:u w:val="single"/>
        </w:rPr>
        <w:t xml:space="preserve"> 伍万元整</w:t>
      </w:r>
      <w:r>
        <w:rPr>
          <w:rFonts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bCs/>
          <w:sz w:val="28"/>
          <w:szCs w:val="28"/>
          <w:lang w:eastAsia="zh-Hans"/>
        </w:rPr>
        <w:t>作为</w:t>
      </w:r>
      <w:r>
        <w:rPr>
          <w:rFonts w:hint="eastAsia" w:ascii="仿宋" w:hAnsi="仿宋" w:eastAsia="仿宋" w:cs="仿宋"/>
          <w:bCs/>
          <w:sz w:val="28"/>
          <w:szCs w:val="28"/>
          <w:lang w:eastAsia="zh-CN"/>
        </w:rPr>
        <w:t>合同押金</w:t>
      </w:r>
      <w:r>
        <w:rPr>
          <w:rFonts w:hint="eastAsia" w:ascii="仿宋" w:hAnsi="仿宋" w:eastAsia="仿宋" w:cs="仿宋"/>
          <w:bCs/>
          <w:sz w:val="28"/>
          <w:szCs w:val="28"/>
          <w:lang w:eastAsia="zh-Hans"/>
        </w:rPr>
        <w:t>，如乙方违反</w:t>
      </w:r>
      <w:r>
        <w:rPr>
          <w:rFonts w:hint="eastAsia" w:ascii="仿宋" w:hAnsi="仿宋" w:eastAsia="仿宋" w:cs="仿宋"/>
          <w:bCs/>
          <w:sz w:val="28"/>
          <w:szCs w:val="28"/>
        </w:rPr>
        <w:t>本</w:t>
      </w:r>
      <w:r>
        <w:rPr>
          <w:rFonts w:hint="eastAsia" w:ascii="仿宋" w:hAnsi="仿宋" w:eastAsia="仿宋" w:cs="仿宋"/>
          <w:bCs/>
          <w:sz w:val="28"/>
          <w:szCs w:val="28"/>
          <w:lang w:eastAsia="zh-Hans"/>
        </w:rPr>
        <w:t>合同约定，甲方有权从</w:t>
      </w:r>
      <w:r>
        <w:rPr>
          <w:rFonts w:hint="eastAsia" w:ascii="仿宋" w:hAnsi="仿宋" w:eastAsia="仿宋" w:cs="仿宋"/>
          <w:bCs/>
          <w:sz w:val="28"/>
          <w:szCs w:val="28"/>
          <w:lang w:eastAsia="zh-CN"/>
        </w:rPr>
        <w:t>押金</w:t>
      </w:r>
      <w:r>
        <w:rPr>
          <w:rFonts w:hint="eastAsia" w:ascii="仿宋" w:hAnsi="仿宋" w:eastAsia="仿宋" w:cs="仿宋"/>
          <w:bCs/>
          <w:sz w:val="28"/>
          <w:szCs w:val="28"/>
          <w:lang w:eastAsia="zh-Hans"/>
        </w:rPr>
        <w:t>中扣除相应费用。租赁期限届满后，双方办理完交还手续后，甲方</w:t>
      </w:r>
      <w:r>
        <w:rPr>
          <w:rFonts w:hint="eastAsia" w:ascii="仿宋" w:hAnsi="仿宋" w:eastAsia="仿宋" w:cs="仿宋"/>
          <w:bCs/>
          <w:sz w:val="28"/>
          <w:szCs w:val="28"/>
        </w:rPr>
        <w:t>扣除相应费用后无息返还</w:t>
      </w:r>
      <w:r>
        <w:rPr>
          <w:rFonts w:hint="eastAsia" w:ascii="仿宋" w:hAnsi="仿宋" w:eastAsia="仿宋" w:cs="仿宋"/>
          <w:bCs/>
          <w:sz w:val="28"/>
          <w:szCs w:val="28"/>
          <w:lang w:eastAsia="zh-Hans"/>
        </w:rPr>
        <w:t>剩余押金。</w:t>
      </w:r>
      <w:bookmarkStart w:id="2" w:name="OLE_LINK5"/>
      <w:bookmarkEnd w:id="2"/>
    </w:p>
    <w:p w14:paraId="00944839">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sz w:val="28"/>
          <w:szCs w:val="28"/>
        </w:rPr>
        <w:t>关于配套设施的约定</w:t>
      </w:r>
    </w:p>
    <w:p w14:paraId="7B706A67">
      <w:pPr>
        <w:pStyle w:val="7"/>
        <w:tabs>
          <w:tab w:val="left" w:pos="1080"/>
          <w:tab w:val="left" w:pos="1558"/>
        </w:tabs>
        <w:snapToGrid w:val="0"/>
        <w:spacing w:before="0" w:beforeAutospacing="0" w:after="0" w:afterAutospacing="0" w:line="520" w:lineRule="exact"/>
        <w:ind w:firstLine="560" w:firstLineChars="200"/>
        <w:rPr>
          <w:rFonts w:ascii="仿宋" w:hAnsi="仿宋" w:eastAsia="仿宋" w:cs="仿宋"/>
        </w:rPr>
      </w:pPr>
      <w:r>
        <w:rPr>
          <w:rFonts w:hint="eastAsia" w:ascii="仿宋" w:hAnsi="仿宋" w:eastAsia="仿宋" w:cs="仿宋"/>
          <w:bCs/>
          <w:sz w:val="28"/>
          <w:szCs w:val="28"/>
        </w:rPr>
        <w:t>（一）甲方向乙方提供所有配套设施时，乙方按所有配套设施现状使用并承担维护保养责任。甲方将前述配套设施交付乙方使用后，使用期间产生的人身、财产损害等一切责任，由乙方自行承担。</w:t>
      </w:r>
    </w:p>
    <w:p w14:paraId="22AEF49F">
      <w:pPr>
        <w:pStyle w:val="7"/>
        <w:tabs>
          <w:tab w:val="left" w:pos="1080"/>
          <w:tab w:val="left" w:pos="1558"/>
        </w:tabs>
        <w:snapToGrid w:val="0"/>
        <w:spacing w:before="0" w:beforeAutospacing="0" w:after="0" w:afterAutospacing="0" w:line="520" w:lineRule="exact"/>
        <w:ind w:firstLine="560" w:firstLineChars="200"/>
        <w:rPr>
          <w:rFonts w:ascii="仿宋" w:hAnsi="仿宋" w:eastAsia="仿宋" w:cs="仿宋"/>
          <w:sz w:val="28"/>
          <w:szCs w:val="28"/>
        </w:rPr>
      </w:pPr>
      <w:r>
        <w:rPr>
          <w:rFonts w:hint="eastAsia" w:ascii="仿宋" w:hAnsi="仿宋" w:eastAsia="仿宋" w:cs="仿宋"/>
          <w:sz w:val="28"/>
          <w:szCs w:val="28"/>
        </w:rPr>
        <w:t>（二）乙方</w:t>
      </w:r>
      <w:r>
        <w:rPr>
          <w:rFonts w:hint="eastAsia" w:ascii="仿宋" w:hAnsi="仿宋" w:eastAsia="仿宋" w:cs="仿宋"/>
          <w:sz w:val="28"/>
          <w:szCs w:val="28"/>
          <w:lang w:eastAsia="zh-CN"/>
        </w:rPr>
        <w:t>如</w:t>
      </w:r>
      <w:r>
        <w:rPr>
          <w:rFonts w:hint="eastAsia" w:ascii="仿宋" w:hAnsi="仿宋" w:eastAsia="仿宋" w:cs="仿宋"/>
          <w:sz w:val="28"/>
          <w:szCs w:val="28"/>
        </w:rPr>
        <w:t>请求甲方在租赁物业变动现有状态下所投入供水、供电工程等配套的，需经甲方书面同意后方可进行，变动配套设备、设施所产生费用和法律责任均由乙方自行承担，且该水、电相关设备、设施等配套在合同解除或终止时如不能拆卸则不得拆除，无偿归甲方所有。</w:t>
      </w:r>
    </w:p>
    <w:p w14:paraId="2CEB2D56">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sz w:val="28"/>
          <w:szCs w:val="28"/>
        </w:rPr>
        <w:t>租赁物业的交付与交还</w:t>
      </w:r>
    </w:p>
    <w:p w14:paraId="55371136">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一）甲方按照租赁物业现状态交付乙方使用，乙方充分、全面知晓租赁物业的基本情况，包括但不限于租赁物业装修现状、设施设备现状及租赁物业房产证办理情况。乙方应当合理使用和妥善管理租赁物业的装修、设备及其他公共设施，未经甲方书面同意，乙方不得变更或拆除物业的任何配套设施，否则甲方有权要求乙方立即恢复原状，由此产生的一切费用及损失由乙方自行负责。</w:t>
      </w:r>
    </w:p>
    <w:p w14:paraId="3C9C1DB5">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（二）甲方向乙方交付租赁物业时，双方应当对租赁物业以及附属设施进行检查，并做好交付记录。</w:t>
      </w:r>
    </w:p>
    <w:p w14:paraId="4C2C8178">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（三）乙方对已交付的租赁物业状况（质量、附属设施可用状态等）有任何疑问应当在甲方交付后5工作日内以书面形式向甲方提出，逾期未提出的，视为无异议。</w:t>
      </w:r>
    </w:p>
    <w:p w14:paraId="626FB4D4">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四）本合同因解除、租赁期满、不可抗力等情况终止，乙方应当在合同解除/终止前5个工作日内对租赁物业以及甲方交付乙方使用的所有配套设施进行清理，并于合同解除/终止之日向甲方交还。乙方交还租赁物业应当保持物业及设施、设备的完好状态，不得留存物品或影响租赁物业的正常使用，对未经甲方同意留存的物品，甲方有权自行处置且处置费用由乙方承担。租赁物业内由乙方投资的装修、设备，除了可以直接搬离或经简单操作可拆卸的装修、设备外，其他归甲方所有，且甲方无须向乙方支付任何补偿，乙方不得予以破坏。</w:t>
      </w:r>
    </w:p>
    <w:p w14:paraId="727919DB">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（五）双方应当对乙方交还的租赁物业、设施、物品进行检查并做好记录。</w:t>
      </w:r>
    </w:p>
    <w:p w14:paraId="2AE1D587">
      <w:pPr>
        <w:pStyle w:val="7"/>
        <w:tabs>
          <w:tab w:val="left" w:pos="1080"/>
        </w:tabs>
        <w:snapToGrid w:val="0"/>
        <w:spacing w:before="0" w:beforeAutospacing="0" w:after="0" w:afterAutospacing="0" w:line="520" w:lineRule="exact"/>
        <w:ind w:left="-1" w:leftChars="-67" w:hanging="140" w:hangingChars="50"/>
        <w:rPr>
          <w:rFonts w:ascii="仿宋" w:hAnsi="仿宋" w:eastAsia="仿宋" w:cs="仿宋"/>
          <w:bCs/>
          <w:sz w:val="28"/>
          <w:szCs w:val="28"/>
        </w:rPr>
      </w:pPr>
      <w:r>
        <w:rPr>
          <w:rFonts w:hint="eastAsia" w:ascii="仿宋" w:hAnsi="仿宋" w:eastAsia="仿宋" w:cs="仿宋"/>
          <w:bCs/>
          <w:sz w:val="28"/>
          <w:szCs w:val="28"/>
        </w:rPr>
        <w:t xml:space="preserve">     （六）租赁期满，双方应按本合同第五条第（四）款的约定履行相关义务，如因乙方原因造成租赁物业、设施、物品损坏或灭失的，乙方应负责立即修复或经济赔偿，修复费用由乙方承担，赔偿金额及修复费用以实际发生的损失额为准。如乙方不能在甲方要求的合理期限内修复，赔偿金额及修复费用由甲方在乙方支付的押金中直接扣除，多退少补。</w:t>
      </w:r>
    </w:p>
    <w:p w14:paraId="34C97655">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sz w:val="28"/>
          <w:szCs w:val="28"/>
        </w:rPr>
        <w:t>租赁物业的装修、修缮</w:t>
      </w:r>
    </w:p>
    <w:p w14:paraId="2FCD7000">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（一）乙方因使用需要对该租赁物业进行扩、加、改建（含改变间隔）、室内装修或增加设备，必须经甲方书面同意。甲方有权对工程进行监督。</w:t>
      </w:r>
      <w:r>
        <w:rPr>
          <w:rFonts w:hint="eastAsia" w:ascii="仿宋" w:hAnsi="仿宋" w:eastAsia="仿宋" w:cs="仿宋"/>
          <w:sz w:val="28"/>
          <w:szCs w:val="28"/>
        </w:rPr>
        <w:t>若未经甲方同意即擅自予以扩、加、改建的，甲方有权要求乙方限期拆除，由此产生的一切损失由乙方自行负责。甲方不催促乙方拆除不视为甲方同意乙方扩、加、改建。租赁终止后，乙方未经甲方书面同意对租赁物业加、改、扩建的投入不得向甲方提出任何经济补偿主张。因乙方扩、加、改、建增加的设施、建筑物、构筑物，无论甲方同意与否，所产</w:t>
      </w:r>
      <w:r>
        <w:rPr>
          <w:rFonts w:hint="eastAsia" w:ascii="仿宋" w:hAnsi="仿宋" w:eastAsia="仿宋" w:cs="仿宋"/>
          <w:bCs/>
          <w:sz w:val="28"/>
          <w:szCs w:val="28"/>
        </w:rPr>
        <w:t>生的法律责任均由乙方全部承担；若因此给甲方造成损失的，乙方应承担赔偿责任。</w:t>
      </w:r>
    </w:p>
    <w:p w14:paraId="774E70A9">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（二）在租赁期内，乙方的装修以及按合同约定由甲方提供给乙方专用的设施的维修、保养责任由乙方负责。</w:t>
      </w:r>
    </w:p>
    <w:p w14:paraId="1744FA3C">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（三）在租赁期内，乙方租赁物业如有装修，消防验收应由乙方负责。</w:t>
      </w:r>
    </w:p>
    <w:p w14:paraId="4C408692">
      <w:pPr>
        <w:pStyle w:val="7"/>
        <w:tabs>
          <w:tab w:val="left" w:pos="1080"/>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bCs/>
          <w:sz w:val="28"/>
          <w:szCs w:val="28"/>
        </w:rPr>
        <w:t>（四）租赁期内，乙方应合理使用其所承租的物业及其附属设施。如因使用不当造成物业及设施损坏的，乙方应立即负责修复或经济赔偿。修复费用由乙方承担，造成甲方损失的赔偿金额如有争议的，以双方共同指定第三方评定机构评定为准。</w:t>
      </w:r>
    </w:p>
    <w:p w14:paraId="62776069">
      <w:pPr>
        <w:pStyle w:val="7"/>
        <w:tabs>
          <w:tab w:val="left" w:pos="1080"/>
        </w:tabs>
        <w:snapToGrid w:val="0"/>
        <w:spacing w:before="0" w:beforeAutospacing="0" w:after="0" w:afterAutospacing="0" w:line="520" w:lineRule="exact"/>
        <w:ind w:firstLine="560" w:firstLineChars="200"/>
        <w:rPr>
          <w:rFonts w:ascii="仿宋" w:hAnsi="仿宋" w:eastAsia="仿宋" w:cs="仿宋"/>
          <w:sz w:val="28"/>
          <w:szCs w:val="28"/>
        </w:rPr>
      </w:pPr>
      <w:r>
        <w:rPr>
          <w:rFonts w:hint="eastAsia" w:ascii="仿宋" w:hAnsi="仿宋" w:eastAsia="仿宋" w:cs="仿宋"/>
          <w:sz w:val="28"/>
          <w:szCs w:val="28"/>
        </w:rPr>
        <w:t>（五）乙方在租赁物业范围内的公共区域，如需外悬挂、摆放任何横幅、广告、招牌，应符合国家有关法律法规的规定，应符合租赁物业所在地区的管理规定，并须向甲方提出书面申请，且获得甲方书面同意。因乙方的横幅、广告、招牌等造成财产损失、人员伤亡事故或行政处罚的，由乙方承担由此产生的法律及经济责任并负责赔偿。</w:t>
      </w:r>
    </w:p>
    <w:p w14:paraId="18BA8007">
      <w:pPr>
        <w:pStyle w:val="7"/>
        <w:tabs>
          <w:tab w:val="left" w:pos="1080"/>
        </w:tabs>
        <w:snapToGrid w:val="0"/>
        <w:spacing w:before="0" w:beforeAutospacing="0" w:after="0" w:afterAutospacing="0" w:line="520" w:lineRule="exact"/>
        <w:ind w:firstLine="560"/>
        <w:rPr>
          <w:rFonts w:ascii="仿宋" w:hAnsi="仿宋" w:eastAsia="仿宋" w:cs="仿宋"/>
          <w:sz w:val="28"/>
          <w:szCs w:val="28"/>
        </w:rPr>
      </w:pPr>
      <w:r>
        <w:rPr>
          <w:rFonts w:hint="eastAsia" w:ascii="仿宋" w:hAnsi="仿宋" w:eastAsia="仿宋" w:cs="仿宋"/>
          <w:sz w:val="28"/>
          <w:szCs w:val="28"/>
        </w:rPr>
        <w:t>（六）甲方不限制乙方自行选择合法的电信网络运营商。电信网络、电话端口、数据接口的具体数量等，由乙方与电信运营商最终签订的合同或协议为准，产生的所有费用及责任由乙方承担。若因此给甲方造成损失的，乙方应承担赔偿责任。</w:t>
      </w:r>
    </w:p>
    <w:p w14:paraId="45CE44E4">
      <w:pPr>
        <w:pStyle w:val="7"/>
        <w:tabs>
          <w:tab w:val="left" w:pos="1080"/>
          <w:tab w:val="left" w:pos="1558"/>
        </w:tabs>
        <w:snapToGrid w:val="0"/>
        <w:spacing w:before="0" w:beforeAutospacing="0" w:after="0" w:afterAutospacing="0" w:line="520" w:lineRule="exact"/>
        <w:ind w:firstLine="560" w:firstLineChars="200"/>
        <w:rPr>
          <w:rFonts w:ascii="仿宋" w:hAnsi="仿宋" w:eastAsia="仿宋" w:cs="仿宋"/>
          <w:bCs/>
          <w:sz w:val="28"/>
          <w:szCs w:val="28"/>
        </w:rPr>
      </w:pPr>
      <w:r>
        <w:rPr>
          <w:rFonts w:hint="eastAsia" w:ascii="仿宋" w:hAnsi="仿宋" w:eastAsia="仿宋" w:cs="仿宋"/>
          <w:sz w:val="28"/>
          <w:szCs w:val="28"/>
        </w:rPr>
        <w:t>（七）乙方承担承租物业给排水的处理，保障生活排污符合环保部门相关要求。负责所使用的电力设施的改造，保障用电负荷安全，</w:t>
      </w:r>
      <w:r>
        <w:rPr>
          <w:rFonts w:hint="eastAsia" w:ascii="仿宋" w:hAnsi="仿宋" w:eastAsia="仿宋" w:cs="仿宋"/>
          <w:bCs/>
          <w:sz w:val="28"/>
          <w:szCs w:val="28"/>
        </w:rPr>
        <w:t>使用期间产生的人身、财产损害等一切责任，由乙方自行承担，与甲方无关。</w:t>
      </w:r>
    </w:p>
    <w:p w14:paraId="1535A916">
      <w:pPr>
        <w:pStyle w:val="7"/>
        <w:numPr>
          <w:ilvl w:val="0"/>
          <w:numId w:val="1"/>
        </w:numPr>
        <w:snapToGrid w:val="0"/>
        <w:spacing w:before="0" w:beforeAutospacing="0" w:after="0" w:afterAutospacing="0" w:line="520" w:lineRule="exact"/>
        <w:rPr>
          <w:rFonts w:ascii="仿宋" w:hAnsi="仿宋" w:eastAsia="仿宋" w:cs="仿宋"/>
          <w:b/>
          <w:sz w:val="28"/>
          <w:szCs w:val="28"/>
        </w:rPr>
      </w:pPr>
      <w:r>
        <w:rPr>
          <w:rFonts w:hint="eastAsia" w:ascii="仿宋" w:hAnsi="仿宋" w:eastAsia="仿宋" w:cs="仿宋"/>
          <w:b/>
          <w:sz w:val="28"/>
          <w:szCs w:val="28"/>
        </w:rPr>
        <w:t>双方权利义务</w:t>
      </w:r>
    </w:p>
    <w:p w14:paraId="46A464B1">
      <w:pPr>
        <w:pStyle w:val="7"/>
        <w:snapToGrid w:val="0"/>
        <w:spacing w:before="0" w:beforeAutospacing="0" w:after="0" w:afterAutospacing="0" w:line="520" w:lineRule="exact"/>
        <w:ind w:firstLine="562" w:firstLineChars="200"/>
        <w:rPr>
          <w:rFonts w:ascii="仿宋" w:hAnsi="仿宋" w:eastAsia="仿宋" w:cs="仿宋"/>
          <w:b/>
          <w:sz w:val="28"/>
          <w:szCs w:val="28"/>
        </w:rPr>
      </w:pPr>
      <w:r>
        <w:rPr>
          <w:rFonts w:hint="eastAsia" w:ascii="仿宋" w:hAnsi="仿宋" w:eastAsia="仿宋" w:cs="仿宋"/>
          <w:b/>
          <w:sz w:val="28"/>
          <w:szCs w:val="28"/>
        </w:rPr>
        <w:t>（一）甲方权利义务</w:t>
      </w:r>
    </w:p>
    <w:p w14:paraId="1EADE28E">
      <w:pPr>
        <w:pStyle w:val="7"/>
        <w:tabs>
          <w:tab w:val="left" w:pos="1080"/>
        </w:tabs>
        <w:snapToGrid w:val="0"/>
        <w:spacing w:before="0" w:beforeAutospacing="0" w:after="0" w:afterAutospacing="0" w:line="520" w:lineRule="exact"/>
        <w:ind w:left="540"/>
        <w:jc w:val="both"/>
        <w:rPr>
          <w:rFonts w:ascii="仿宋" w:hAnsi="仿宋" w:eastAsia="仿宋" w:cs="仿宋"/>
          <w:bCs/>
          <w:sz w:val="28"/>
          <w:szCs w:val="28"/>
        </w:rPr>
      </w:pPr>
      <w:r>
        <w:rPr>
          <w:rFonts w:hint="eastAsia" w:ascii="仿宋" w:hAnsi="仿宋" w:eastAsia="仿宋" w:cs="仿宋"/>
          <w:bCs/>
          <w:sz w:val="28"/>
          <w:szCs w:val="28"/>
        </w:rPr>
        <w:t>1、甲方应当按照本合同约定向乙方交付租赁物业及附属设施。</w:t>
      </w:r>
    </w:p>
    <w:p w14:paraId="0FD922C7">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2</w:t>
      </w:r>
      <w:r>
        <w:rPr>
          <w:rFonts w:hint="eastAsia" w:ascii="仿宋" w:hAnsi="仿宋" w:eastAsia="仿宋" w:cs="仿宋"/>
          <w:bCs/>
          <w:sz w:val="28"/>
          <w:szCs w:val="28"/>
        </w:rPr>
        <w:t>、甲方应当保证租赁物业及附属设施的质量，并承担法定的修缮义务。由于不可抗力原因，或其他非因乙方原因造成租赁物业受损的，甲方应当及时修复，并承担相关维修费用。经甲方同意后，乙方自行装修部分和改造、增容的设备设施由乙方负责维修，甲方不承担责任。</w:t>
      </w:r>
    </w:p>
    <w:p w14:paraId="1817E0D2">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3</w:t>
      </w:r>
      <w:r>
        <w:rPr>
          <w:rFonts w:hint="eastAsia" w:ascii="仿宋" w:hAnsi="仿宋" w:eastAsia="仿宋" w:cs="仿宋"/>
          <w:bCs/>
          <w:sz w:val="28"/>
          <w:szCs w:val="28"/>
        </w:rPr>
        <w:t>、在租赁期间如乙方需办理证照时，甲方应协助提供相关资料证明，相关材料证明仅</w:t>
      </w:r>
      <w:r>
        <w:rPr>
          <w:rFonts w:hint="eastAsia" w:ascii="仿宋" w:hAnsi="仿宋" w:eastAsia="仿宋" w:cs="仿宋"/>
          <w:bCs/>
          <w:sz w:val="28"/>
          <w:szCs w:val="28"/>
          <w:lang w:eastAsia="zh-CN"/>
        </w:rPr>
        <w:t>供</w:t>
      </w:r>
      <w:r>
        <w:rPr>
          <w:rFonts w:hint="eastAsia" w:ascii="仿宋" w:hAnsi="仿宋" w:eastAsia="仿宋" w:cs="仿宋"/>
          <w:bCs/>
          <w:sz w:val="28"/>
          <w:szCs w:val="28"/>
        </w:rPr>
        <w:t>乙方就本次租赁办理证照使用。</w:t>
      </w:r>
    </w:p>
    <w:p w14:paraId="6718986D">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4</w:t>
      </w:r>
      <w:r>
        <w:rPr>
          <w:rFonts w:hint="eastAsia" w:ascii="仿宋" w:hAnsi="仿宋" w:eastAsia="仿宋" w:cs="仿宋"/>
          <w:bCs/>
          <w:sz w:val="28"/>
          <w:szCs w:val="28"/>
        </w:rPr>
        <w:t>、甲方有权对租赁物业的文明卫生、环境污染、消防安全、治安保卫、机动车辆管理等进行检查并要求乙方对不合格情形做出整改，但不得影响乙方正常使用。</w:t>
      </w:r>
    </w:p>
    <w:p w14:paraId="359C7A05">
      <w:pPr>
        <w:pStyle w:val="7"/>
        <w:tabs>
          <w:tab w:val="left" w:pos="1080"/>
        </w:tabs>
        <w:snapToGrid w:val="0"/>
        <w:spacing w:before="0" w:beforeAutospacing="0" w:after="0" w:afterAutospacing="0" w:line="520" w:lineRule="exact"/>
        <w:ind w:firstLine="570"/>
        <w:jc w:val="both"/>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如因甲方有提供物业管理服务且提供物业管理服务过程中存在过错，导致乙方人员或财产受到严重损失时，甲方应赔偿乙方遭受的实际损失。乙方对租赁物业进行全面装修使用，因乙方装修不符合消防、环保等安全要求产生安全事故，由乙方自行承担由此产生的一切法律及经济责任，并赔偿由此导致的甲方全部损失。</w:t>
      </w:r>
    </w:p>
    <w:p w14:paraId="4F01E549">
      <w:pPr>
        <w:pStyle w:val="7"/>
        <w:tabs>
          <w:tab w:val="left" w:pos="1080"/>
        </w:tabs>
        <w:snapToGrid w:val="0"/>
        <w:spacing w:before="0" w:beforeAutospacing="0" w:after="0" w:afterAutospacing="0" w:line="520" w:lineRule="exact"/>
        <w:ind w:firstLine="560" w:firstLineChars="200"/>
        <w:jc w:val="both"/>
      </w:pPr>
      <w:r>
        <w:rPr>
          <w:rFonts w:hint="eastAsia" w:ascii="仿宋" w:hAnsi="仿宋" w:eastAsia="仿宋" w:cs="仿宋"/>
          <w:bCs/>
          <w:sz w:val="28"/>
          <w:szCs w:val="28"/>
          <w:lang w:val="en-US" w:eastAsia="zh-CN"/>
        </w:rPr>
        <w:t>6</w:t>
      </w:r>
      <w:r>
        <w:rPr>
          <w:rFonts w:hint="eastAsia" w:ascii="仿宋" w:hAnsi="仿宋" w:eastAsia="仿宋" w:cs="仿宋"/>
          <w:bCs/>
          <w:sz w:val="28"/>
          <w:szCs w:val="28"/>
        </w:rPr>
        <w:t>、甲方有权在本合同租赁期限内，将租赁房屋抵押或转让于任何银行或第三方，而无需征得乙方的批准或同意，甲方须提前书面通知乙方。</w:t>
      </w:r>
    </w:p>
    <w:p w14:paraId="16C608B3">
      <w:pPr>
        <w:pStyle w:val="7"/>
        <w:snapToGrid w:val="0"/>
        <w:spacing w:before="0" w:beforeAutospacing="0" w:after="0" w:afterAutospacing="0" w:line="520" w:lineRule="exact"/>
        <w:ind w:firstLine="281" w:firstLineChars="100"/>
        <w:jc w:val="both"/>
        <w:rPr>
          <w:rFonts w:ascii="仿宋" w:hAnsi="仿宋" w:eastAsia="仿宋" w:cs="仿宋"/>
          <w:b/>
          <w:sz w:val="28"/>
          <w:szCs w:val="28"/>
        </w:rPr>
      </w:pPr>
      <w:r>
        <w:rPr>
          <w:rFonts w:hint="eastAsia" w:ascii="仿宋" w:hAnsi="仿宋" w:eastAsia="仿宋" w:cs="仿宋"/>
          <w:b/>
          <w:sz w:val="28"/>
          <w:szCs w:val="28"/>
        </w:rPr>
        <w:t>（二）乙方权利义务</w:t>
      </w:r>
    </w:p>
    <w:p w14:paraId="46487313">
      <w:pPr>
        <w:pStyle w:val="7"/>
        <w:numPr>
          <w:ilvl w:val="-1"/>
          <w:numId w:val="0"/>
        </w:numPr>
        <w:tabs>
          <w:tab w:val="left" w:pos="1080"/>
        </w:tabs>
        <w:snapToGrid w:val="0"/>
        <w:spacing w:before="0" w:beforeAutospacing="0" w:after="0" w:afterAutospacing="0" w:line="520" w:lineRule="exact"/>
        <w:ind w:left="540" w:firstLine="0"/>
        <w:jc w:val="both"/>
        <w:rPr>
          <w:rFonts w:ascii="仿宋" w:hAnsi="仿宋" w:eastAsia="仿宋" w:cs="仿宋"/>
          <w:bCs/>
          <w:sz w:val="28"/>
          <w:szCs w:val="28"/>
        </w:rPr>
      </w:pPr>
      <w:r>
        <w:rPr>
          <w:rFonts w:hint="eastAsia" w:ascii="仿宋" w:hAnsi="仿宋" w:eastAsia="仿宋" w:cs="仿宋"/>
          <w:bCs/>
          <w:sz w:val="28"/>
          <w:szCs w:val="28"/>
          <w:lang w:val="en-US" w:eastAsia="zh-CN"/>
        </w:rPr>
        <w:t>1、</w:t>
      </w:r>
      <w:r>
        <w:rPr>
          <w:rFonts w:hint="eastAsia" w:ascii="仿宋" w:hAnsi="仿宋" w:eastAsia="仿宋" w:cs="仿宋"/>
          <w:bCs/>
          <w:sz w:val="28"/>
          <w:szCs w:val="28"/>
        </w:rPr>
        <w:t>租赁期内，乙方应当遵守国家企业安全责任的相关法律法规，如因</w:t>
      </w:r>
    </w:p>
    <w:p w14:paraId="647374A5">
      <w:pPr>
        <w:pStyle w:val="7"/>
        <w:tabs>
          <w:tab w:val="left" w:pos="108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bCs/>
          <w:sz w:val="28"/>
          <w:szCs w:val="28"/>
        </w:rPr>
        <w:t>乙方原因导致发生消防等安全事故，导致租赁物业发生损坏的，乙方须承担由此产生的一切后果并赔偿对甲方及其他人造成的损失。</w:t>
      </w:r>
    </w:p>
    <w:p w14:paraId="3C4EC87D">
      <w:pPr>
        <w:pStyle w:val="7"/>
        <w:numPr>
          <w:ilvl w:val="-1"/>
          <w:numId w:val="0"/>
        </w:numPr>
        <w:tabs>
          <w:tab w:val="left" w:pos="1080"/>
          <w:tab w:val="left" w:pos="1530"/>
        </w:tabs>
        <w:snapToGrid w:val="0"/>
        <w:spacing w:before="0" w:beforeAutospacing="0" w:after="0" w:afterAutospacing="0" w:line="520" w:lineRule="exact"/>
        <w:ind w:left="540" w:firstLine="0"/>
        <w:jc w:val="both"/>
        <w:rPr>
          <w:rFonts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乙方保证包括其所属员工在内的所有乙方人员遵守甲方对租赁房</w:t>
      </w:r>
    </w:p>
    <w:p w14:paraId="356E487D">
      <w:pPr>
        <w:pStyle w:val="7"/>
        <w:tabs>
          <w:tab w:val="left" w:pos="1080"/>
          <w:tab w:val="left" w:pos="1530"/>
        </w:tabs>
        <w:snapToGrid w:val="0"/>
        <w:spacing w:before="0" w:beforeAutospacing="0" w:after="0" w:afterAutospacing="0" w:line="520" w:lineRule="exact"/>
        <w:jc w:val="both"/>
        <w:rPr>
          <w:rFonts w:ascii="仿宋" w:hAnsi="仿宋" w:eastAsia="仿宋" w:cs="仿宋"/>
          <w:sz w:val="28"/>
          <w:szCs w:val="28"/>
        </w:rPr>
      </w:pPr>
      <w:r>
        <w:rPr>
          <w:rFonts w:hint="eastAsia" w:ascii="仿宋" w:hAnsi="仿宋" w:eastAsia="仿宋" w:cs="仿宋"/>
          <w:sz w:val="28"/>
          <w:szCs w:val="28"/>
        </w:rPr>
        <w:t>屋的综合管理规定，保证安全通道的畅通，保证用电和防火安全，爱护大楼公共设施，维护环境卫生，遵守公共停车场所的停车秩序等。</w:t>
      </w:r>
    </w:p>
    <w:p w14:paraId="62DFBE85">
      <w:pPr>
        <w:pStyle w:val="7"/>
        <w:tabs>
          <w:tab w:val="left" w:pos="1080"/>
          <w:tab w:val="left" w:pos="153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sz w:val="28"/>
          <w:szCs w:val="28"/>
        </w:rPr>
        <w:t xml:space="preserve">   </w:t>
      </w:r>
      <w:r>
        <w:rPr>
          <w:rFonts w:ascii="仿宋" w:hAnsi="仿宋" w:eastAsia="仿宋" w:cs="仿宋"/>
          <w:sz w:val="28"/>
          <w:szCs w:val="28"/>
        </w:rPr>
        <w:t xml:space="preserve"> </w:t>
      </w:r>
      <w:r>
        <w:rPr>
          <w:rFonts w:hint="eastAsia" w:ascii="仿宋" w:hAnsi="仿宋" w:eastAsia="仿宋" w:cs="仿宋"/>
          <w:sz w:val="28"/>
          <w:szCs w:val="28"/>
        </w:rPr>
        <w:t>3、乙方</w:t>
      </w:r>
      <w:r>
        <w:rPr>
          <w:rFonts w:hint="eastAsia" w:ascii="仿宋" w:hAnsi="仿宋" w:eastAsia="仿宋" w:cs="仿宋"/>
          <w:bCs/>
          <w:sz w:val="28"/>
          <w:szCs w:val="28"/>
        </w:rPr>
        <w:t>应当按照本合同约定准时支付租金、管理费、水电费以及其他应由乙方承担的费用。如逾期支付，自逾期支付之日起，每逾期一日，乙方须按应支付而未支付费用的</w:t>
      </w:r>
      <w:r>
        <w:rPr>
          <w:rFonts w:hint="default" w:ascii="仿宋" w:hAnsi="仿宋" w:eastAsia="仿宋" w:cs="仿宋"/>
          <w:sz w:val="28"/>
          <w:szCs w:val="28"/>
          <w:u w:val="single"/>
          <w:lang w:val="en-US" w:eastAsia="zh-CN"/>
        </w:rPr>
        <w:t>10</w:t>
      </w:r>
      <w:r>
        <w:rPr>
          <w:rFonts w:hint="default" w:ascii="仿宋" w:hAnsi="仿宋" w:eastAsia="仿宋" w:cs="仿宋"/>
          <w:sz w:val="28"/>
          <w:szCs w:val="28"/>
          <w:u w:val="single"/>
          <w:lang w:val="en-US"/>
        </w:rPr>
        <w:t>‰</w:t>
      </w:r>
      <w:r>
        <w:rPr>
          <w:rFonts w:hint="eastAsia" w:ascii="仿宋" w:hAnsi="仿宋" w:eastAsia="仿宋" w:cs="仿宋"/>
          <w:bCs/>
          <w:sz w:val="28"/>
          <w:szCs w:val="28"/>
        </w:rPr>
        <w:t>向甲方支付违约金。</w:t>
      </w:r>
    </w:p>
    <w:p w14:paraId="3C9CEFB9">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4、乙方保证合法经营</w:t>
      </w:r>
      <w:r>
        <w:rPr>
          <w:rFonts w:hint="eastAsia" w:ascii="仿宋" w:hAnsi="仿宋" w:eastAsia="仿宋" w:cs="仿宋"/>
          <w:bCs/>
          <w:sz w:val="28"/>
          <w:szCs w:val="28"/>
          <w:lang w:eastAsia="zh-CN"/>
        </w:rPr>
        <w:t>并使用租赁物业</w:t>
      </w:r>
      <w:r>
        <w:rPr>
          <w:rFonts w:hint="eastAsia" w:ascii="仿宋" w:hAnsi="仿宋" w:eastAsia="仿宋" w:cs="仿宋"/>
          <w:bCs/>
          <w:sz w:val="28"/>
          <w:szCs w:val="28"/>
        </w:rPr>
        <w:t>，不得从事非法活动。乙方与其他人所发生的纠纷由乙方自行解决，与甲方无关。如果由此影响甲方经营或增加了甲方的管理成本或给甲方造成其他损失的，乙方应赔偿甲方相应损失。</w:t>
      </w:r>
    </w:p>
    <w:p w14:paraId="6BA56C43">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5、乙方在该租赁物业内需要安装或者使用超过水、电表容量的任何水电设备，造成事故、损失及相应法律责任，均由乙方自行承担。</w:t>
      </w:r>
      <w:r>
        <w:rPr>
          <w:rFonts w:hint="eastAsia" w:ascii="仿宋" w:hAnsi="仿宋" w:eastAsia="仿宋" w:cs="仿宋"/>
          <w:sz w:val="28"/>
          <w:szCs w:val="28"/>
        </w:rPr>
        <w:t>若因此给甲方或租赁物业造成损失的，乙方应承担赔偿责任。</w:t>
      </w:r>
    </w:p>
    <w:p w14:paraId="4437414C">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6、乙方应当按消防管理的有关规定，对用电等设施进行检查，若乙方对火情隐患进行隐瞒，违反消防安全，对甲方或第三方造成损失，乙方应当承担相关法律责任并赔偿由此招致的所有损失。</w:t>
      </w:r>
    </w:p>
    <w:p w14:paraId="16D0DD4C">
      <w:pPr>
        <w:pStyle w:val="7"/>
        <w:tabs>
          <w:tab w:val="left" w:pos="1080"/>
        </w:tabs>
        <w:snapToGrid w:val="0"/>
        <w:spacing w:before="0" w:beforeAutospacing="0" w:after="0" w:afterAutospacing="0" w:line="520" w:lineRule="exact"/>
        <w:ind w:left="540"/>
        <w:jc w:val="both"/>
        <w:rPr>
          <w:rFonts w:ascii="仿宋" w:hAnsi="仿宋" w:eastAsia="仿宋" w:cs="仿宋"/>
          <w:bCs/>
          <w:sz w:val="28"/>
          <w:szCs w:val="28"/>
        </w:rPr>
      </w:pPr>
      <w:r>
        <w:rPr>
          <w:rFonts w:hint="eastAsia" w:ascii="仿宋" w:hAnsi="仿宋" w:eastAsia="仿宋" w:cs="仿宋"/>
          <w:bCs/>
          <w:sz w:val="28"/>
          <w:szCs w:val="28"/>
        </w:rPr>
        <w:t>7、乙方不得在租赁物业内存放危险物品或进行违法活动。</w:t>
      </w:r>
    </w:p>
    <w:p w14:paraId="65C67A88">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8、乙方对租赁物业的安全生产、防火、环保、卫生、治安等工作负有全部责任，自觉接受有关部门的监督和指导。租赁期内，因乙方不遵照国家的有关法律法规依法进行生产经营而发生的相关事故，由乙方负经济、法律等全部责任。</w:t>
      </w:r>
    </w:p>
    <w:p w14:paraId="0A57B004">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9、在租赁期内，凡乙方所发生的债权、债务及其他经济或民事上的法律纠纷，由乙方负责，与甲方无关。</w:t>
      </w:r>
      <w:r>
        <w:rPr>
          <w:rFonts w:hint="eastAsia" w:ascii="仿宋" w:hAnsi="仿宋" w:eastAsia="仿宋" w:cs="仿宋"/>
          <w:sz w:val="28"/>
          <w:szCs w:val="28"/>
        </w:rPr>
        <w:t>若因此给甲方造成损失的，乙方应承担赔偿责任。</w:t>
      </w:r>
    </w:p>
    <w:p w14:paraId="61083F8D">
      <w:pPr>
        <w:pStyle w:val="7"/>
        <w:tabs>
          <w:tab w:val="left" w:pos="990"/>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ascii="仿宋" w:hAnsi="仿宋" w:eastAsia="仿宋" w:cs="仿宋"/>
          <w:bCs/>
          <w:sz w:val="28"/>
          <w:szCs w:val="28"/>
        </w:rPr>
        <w:t>10</w:t>
      </w:r>
      <w:r>
        <w:rPr>
          <w:rFonts w:hint="eastAsia" w:ascii="仿宋" w:hAnsi="仿宋" w:eastAsia="仿宋" w:cs="仿宋"/>
          <w:bCs/>
          <w:sz w:val="28"/>
          <w:szCs w:val="28"/>
        </w:rPr>
        <w:t>、乙方如有利用租赁房屋地址进行企业注册登记的，在租赁期限届满前或合同解除或终止之日前必须迁出租赁房屋地址（即变更企业注册登记地址），且乙方应交清全部应缴纳的税费等费用。如因此造成甲方损失的，甲方有权要求乙方承担赔偿责任。</w:t>
      </w:r>
    </w:p>
    <w:p w14:paraId="6BEDF2F5">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1</w:t>
      </w:r>
      <w:r>
        <w:rPr>
          <w:rFonts w:hint="eastAsia" w:ascii="仿宋" w:hAnsi="仿宋" w:eastAsia="仿宋" w:cs="仿宋"/>
          <w:bCs/>
          <w:sz w:val="28"/>
          <w:szCs w:val="28"/>
        </w:rPr>
        <w:t>、乙方应当依法依规开展生产和经营活动，根据行政管理要求，履行行政批报、备案、审批手续和相关证照办理。因乙方使用租赁物业和生产、经营活动中，未履行相关的报批、审批手续或违反国家相关规定，违规建设、生产、经营等，造成安全生产、消防、环保，建设执法单位等行政执法部门对甲方作出罚款等行政处罚的，乙方应当承担全部责任，应当采取下列措施：</w:t>
      </w:r>
    </w:p>
    <w:p w14:paraId="7E895358">
      <w:pPr>
        <w:pStyle w:val="7"/>
        <w:numPr>
          <w:ilvl w:val="0"/>
          <w:numId w:val="2"/>
        </w:numPr>
        <w:tabs>
          <w:tab w:val="left" w:pos="1080"/>
        </w:tabs>
        <w:snapToGrid w:val="0"/>
        <w:spacing w:before="0" w:beforeAutospacing="0" w:after="0" w:afterAutospacing="0" w:line="520" w:lineRule="exact"/>
        <w:ind w:left="540"/>
        <w:jc w:val="both"/>
        <w:rPr>
          <w:rFonts w:ascii="仿宋" w:hAnsi="仿宋" w:eastAsia="仿宋" w:cs="仿宋"/>
          <w:bCs/>
          <w:sz w:val="28"/>
          <w:szCs w:val="28"/>
        </w:rPr>
      </w:pPr>
      <w:r>
        <w:rPr>
          <w:rFonts w:hint="eastAsia" w:ascii="仿宋" w:hAnsi="仿宋" w:eastAsia="仿宋" w:cs="仿宋"/>
          <w:bCs/>
          <w:sz w:val="28"/>
          <w:szCs w:val="28"/>
        </w:rPr>
        <w:t>将行政处罚的罚款在甲方通知乙方后三日内交付给甲方，并承担</w:t>
      </w:r>
    </w:p>
    <w:p w14:paraId="754F40EA">
      <w:pPr>
        <w:pStyle w:val="7"/>
        <w:tabs>
          <w:tab w:val="left" w:pos="108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bCs/>
          <w:sz w:val="28"/>
          <w:szCs w:val="28"/>
        </w:rPr>
        <w:t>本合同约定的违约责任；</w:t>
      </w:r>
    </w:p>
    <w:p w14:paraId="7C7A4B36">
      <w:pPr>
        <w:pStyle w:val="7"/>
        <w:numPr>
          <w:ilvl w:val="0"/>
          <w:numId w:val="2"/>
        </w:numPr>
        <w:tabs>
          <w:tab w:val="left" w:pos="1080"/>
        </w:tabs>
        <w:snapToGrid w:val="0"/>
        <w:spacing w:before="0" w:beforeAutospacing="0" w:after="0" w:afterAutospacing="0" w:line="520" w:lineRule="exact"/>
        <w:ind w:left="540"/>
        <w:jc w:val="both"/>
        <w:rPr>
          <w:rFonts w:ascii="仿宋" w:hAnsi="仿宋" w:eastAsia="仿宋" w:cs="仿宋"/>
          <w:bCs/>
          <w:sz w:val="28"/>
          <w:szCs w:val="28"/>
        </w:rPr>
      </w:pPr>
      <w:r>
        <w:rPr>
          <w:rFonts w:hint="eastAsia" w:ascii="仿宋" w:hAnsi="仿宋" w:eastAsia="仿宋" w:cs="仿宋"/>
          <w:bCs/>
          <w:sz w:val="28"/>
          <w:szCs w:val="28"/>
        </w:rPr>
        <w:t>在行政处罚规定的时间内，根据要求对违法行为作出整改，并报</w:t>
      </w:r>
    </w:p>
    <w:p w14:paraId="7AA460B5">
      <w:pPr>
        <w:pStyle w:val="7"/>
        <w:tabs>
          <w:tab w:val="left" w:pos="108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bCs/>
          <w:sz w:val="28"/>
          <w:szCs w:val="28"/>
        </w:rPr>
        <w:t>至相关的执行部门。</w:t>
      </w:r>
    </w:p>
    <w:p w14:paraId="0F1EF6F8">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2</w:t>
      </w:r>
      <w:r>
        <w:rPr>
          <w:rFonts w:hint="eastAsia" w:ascii="仿宋" w:hAnsi="仿宋" w:eastAsia="仿宋" w:cs="仿宋"/>
          <w:bCs/>
          <w:sz w:val="28"/>
          <w:szCs w:val="28"/>
        </w:rPr>
        <w:t>、乙方在合同签署时，已清楚知晓租赁物有关消防、环保等方面的现状及资质等相关事宜。</w:t>
      </w:r>
    </w:p>
    <w:p w14:paraId="31F53B45">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3</w:t>
      </w:r>
      <w:r>
        <w:rPr>
          <w:rFonts w:hint="eastAsia" w:ascii="仿宋" w:hAnsi="仿宋" w:eastAsia="仿宋" w:cs="仿宋"/>
          <w:bCs/>
          <w:sz w:val="28"/>
          <w:szCs w:val="28"/>
        </w:rPr>
        <w:t>、乙方因为在使用租赁物业、经营或管理过程中，导致任何第三方人身损害或财产损失的，应当由乙方承担由此导致的法律及经济责任。乙方应当购买适当的人身、财产商业保险，防范不必要的损失。</w:t>
      </w:r>
    </w:p>
    <w:p w14:paraId="27EFA23B">
      <w:pPr>
        <w:pStyle w:val="7"/>
        <w:tabs>
          <w:tab w:val="left" w:pos="1080"/>
        </w:tabs>
        <w:snapToGrid w:val="0"/>
        <w:spacing w:before="0" w:beforeAutospacing="0" w:after="0" w:afterAutospacing="0" w:line="520" w:lineRule="exact"/>
        <w:ind w:left="540"/>
        <w:jc w:val="both"/>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4</w:t>
      </w:r>
      <w:r>
        <w:rPr>
          <w:rFonts w:hint="eastAsia" w:ascii="仿宋" w:hAnsi="仿宋" w:eastAsia="仿宋" w:cs="仿宋"/>
          <w:bCs/>
          <w:sz w:val="28"/>
          <w:szCs w:val="28"/>
        </w:rPr>
        <w:t>、本合同约定的其他权利义务。</w:t>
      </w:r>
    </w:p>
    <w:p w14:paraId="2F2F74F2">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合同的解除、终止</w:t>
      </w:r>
    </w:p>
    <w:p w14:paraId="4AA634A4">
      <w:pPr>
        <w:pStyle w:val="7"/>
        <w:tabs>
          <w:tab w:val="left" w:pos="1080"/>
        </w:tabs>
        <w:snapToGrid w:val="0"/>
        <w:spacing w:before="0" w:beforeAutospacing="0" w:after="0" w:afterAutospacing="0" w:line="520" w:lineRule="exact"/>
        <w:ind w:left="570"/>
        <w:jc w:val="both"/>
        <w:rPr>
          <w:rFonts w:ascii="仿宋" w:hAnsi="仿宋" w:eastAsia="仿宋" w:cs="仿宋"/>
          <w:bCs/>
          <w:sz w:val="28"/>
          <w:szCs w:val="28"/>
        </w:rPr>
      </w:pPr>
      <w:r>
        <w:rPr>
          <w:rFonts w:hint="eastAsia" w:ascii="仿宋" w:hAnsi="仿宋" w:eastAsia="仿宋" w:cs="仿宋"/>
          <w:bCs/>
          <w:sz w:val="28"/>
          <w:szCs w:val="28"/>
        </w:rPr>
        <w:t>（一）租赁期间，双方协商一致，可以变更、解除或终止本合同。</w:t>
      </w:r>
    </w:p>
    <w:p w14:paraId="653E516A">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（二）甲方有以下行为之一的，乙方有权解除合同，且甲方应承担乙方因此造成的损失的赔偿责任：</w:t>
      </w:r>
    </w:p>
    <w:p w14:paraId="22C6478C">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甲方无合理事由未尽水、电方面的供应义务，严重影响乙方正常使用租赁房屋超过连续60日的，但因供电局原因停电、供水局原因停水及本合同另有约定除外。</w:t>
      </w:r>
    </w:p>
    <w:p w14:paraId="2BB378E3">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（三）租赁期间，乙方有下列行为之一的，甲方有权单方面解除合同，甲方收取的押金不予返还，收回租赁物业，并要求乙方赔偿损失（包括但不限涉诉产生的律师费、诉讼费等所有费用）：</w:t>
      </w:r>
    </w:p>
    <w:p w14:paraId="1F316AB1">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1.未经甲方书面同意，拆改变动租赁物业结构及附属设备、设施。</w:t>
      </w:r>
    </w:p>
    <w:p w14:paraId="45D6D40E">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2.因乙方原因损坏租赁物业，在甲方书面提出的期限内仍未修复的。</w:t>
      </w:r>
    </w:p>
    <w:p w14:paraId="5D91E910">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3.利用租赁物业存放危险物品或进行违法活动。</w:t>
      </w:r>
    </w:p>
    <w:p w14:paraId="41A6EBB2">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4.未经甲方书面同意，擅自将租赁物业进行转租或分租的。</w:t>
      </w:r>
    </w:p>
    <w:p w14:paraId="3BACE02F">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ascii="仿宋" w:hAnsi="仿宋" w:eastAsia="仿宋" w:cs="仿宋"/>
          <w:bCs/>
          <w:sz w:val="28"/>
          <w:szCs w:val="28"/>
        </w:rPr>
        <w:t>5</w:t>
      </w:r>
      <w:r>
        <w:rPr>
          <w:rFonts w:hint="eastAsia" w:ascii="仿宋" w:hAnsi="仿宋" w:eastAsia="仿宋" w:cs="仿宋"/>
          <w:bCs/>
          <w:sz w:val="28"/>
          <w:szCs w:val="28"/>
        </w:rPr>
        <w:t>.未按本合同约定支付应当由乙方支付的各项费用达</w:t>
      </w:r>
      <w:r>
        <w:rPr>
          <w:rFonts w:ascii="仿宋" w:hAnsi="仿宋" w:eastAsia="仿宋" w:cs="仿宋"/>
          <w:bCs/>
          <w:sz w:val="28"/>
          <w:szCs w:val="28"/>
        </w:rPr>
        <w:t>15</w:t>
      </w:r>
      <w:r>
        <w:rPr>
          <w:rFonts w:hint="eastAsia" w:ascii="仿宋" w:hAnsi="仿宋" w:eastAsia="仿宋" w:cs="仿宋"/>
          <w:bCs/>
          <w:sz w:val="28"/>
          <w:szCs w:val="28"/>
        </w:rPr>
        <w:t>日的。</w:t>
      </w:r>
    </w:p>
    <w:p w14:paraId="722140B7">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（四）本合同因双方协商、合同解除、租赁期满、不可抗力因素导致合同无法履行等原因可以终止。</w:t>
      </w:r>
    </w:p>
    <w:p w14:paraId="00BC9DED">
      <w:pPr>
        <w:pStyle w:val="7"/>
        <w:tabs>
          <w:tab w:val="left" w:pos="1080"/>
          <w:tab w:val="left" w:pos="156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bCs/>
          <w:sz w:val="28"/>
          <w:szCs w:val="28"/>
        </w:rPr>
        <w:t xml:space="preserve">    （五）乙方已预见租赁房屋可能会因政府原因、政策原因、城市规划建设或“三旧”改造等需要征收、拆迁，或者因甲方整体开发改造需要，甲方可能会提前收回租赁房屋。出现前述情形，甲方可以提前30日书面通知乙方终止本合同，收回租赁房屋，乙方清楚且同意甲方因前述情形终止合同并非甲方违约，乙方届时应无条件予以配合，甲方不因此向乙方承担任何形式的补偿或赔偿，本合同第十条第（三）款另有约定的除外。</w:t>
      </w:r>
    </w:p>
    <w:p w14:paraId="5F0340DF">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（六）本合同解除/终止（包括但不限于期限届满以及其他情形下合同终止）后，双方应负有配合处理后续事宜的义务，具体包括下列事宜：</w:t>
      </w:r>
    </w:p>
    <w:p w14:paraId="1ADC9890">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1.在租赁物业上的电线电缆和不可移动或不可拆卸的物品、设施、设备以及新建的建筑物归甲方所有，甲方同意乙方无需处理，乙方不得毁坏；乙方应在解除/终止合同之日交付给甲方；</w:t>
      </w:r>
    </w:p>
    <w:p w14:paraId="1BD57A52">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2.乙方使用的广告位或者招牌等应在交还租赁物业前自行拆除，如逾期未拆除的视为乙方遗弃物，甲方可代为清理，所产生的费用甲方有权向乙方追偿；</w:t>
      </w:r>
    </w:p>
    <w:p w14:paraId="67C2637E">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3.双方在解除/终止合同之日，办理终止本合同相关手续；</w:t>
      </w:r>
    </w:p>
    <w:p w14:paraId="276FD275">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4.其他本合同有约定事宜；</w:t>
      </w:r>
    </w:p>
    <w:p w14:paraId="07E9ABBF">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5.在解除/终止合同之日的次日起，因在租赁物业新建的建筑物及在租赁物业上装修、改造、增设、添附的设施、设备、装饰装修物等添附物或附属物产生的增值利益或价值归甲方所有。</w:t>
      </w:r>
    </w:p>
    <w:p w14:paraId="2A6E7EAD">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6.甲乙双方应对租赁物业、租赁物业上新建的建筑物、设备设施等附属物品及水电使用等情况进行交接，结清各自应当承担的费用。如乙方归还租赁物业时未清理杂物，则甲方代为清理或委托他人清理该杂物所产生的费用由乙方负责。</w:t>
      </w:r>
    </w:p>
    <w:p w14:paraId="6BFE86D7">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违约责任</w:t>
      </w:r>
    </w:p>
    <w:p w14:paraId="1E87D7B3">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（一）双方应当按照本合同约定行使权利履行义务，任何一方有违约行为的按本合同第九条及本合同其他约定执行，本合同第九条及本合同其他约定没有约定的按《</w:t>
      </w:r>
      <w:r>
        <w:rPr>
          <w:rFonts w:hint="eastAsia" w:ascii="仿宋" w:hAnsi="仿宋" w:eastAsia="仿宋" w:cs="仿宋"/>
          <w:bCs/>
          <w:sz w:val="28"/>
          <w:szCs w:val="28"/>
          <w:lang w:eastAsia="zh-Hans"/>
        </w:rPr>
        <w:t>中华人民共和国民法典</w:t>
      </w:r>
      <w:r>
        <w:rPr>
          <w:rFonts w:hint="eastAsia" w:ascii="仿宋" w:hAnsi="仿宋" w:eastAsia="仿宋" w:cs="仿宋"/>
          <w:bCs/>
          <w:sz w:val="28"/>
          <w:szCs w:val="28"/>
        </w:rPr>
        <w:t>》及相关法律法规执行。</w:t>
      </w:r>
    </w:p>
    <w:p w14:paraId="5C6AAF97">
      <w:pPr>
        <w:pStyle w:val="7"/>
        <w:tabs>
          <w:tab w:val="left" w:pos="1080"/>
        </w:tabs>
        <w:snapToGrid w:val="0"/>
        <w:spacing w:before="0" w:beforeAutospacing="0" w:after="0" w:afterAutospacing="0" w:line="520" w:lineRule="exact"/>
        <w:jc w:val="both"/>
        <w:rPr>
          <w:rFonts w:ascii="仿宋" w:hAnsi="仿宋" w:eastAsia="仿宋" w:cs="仿宋"/>
          <w:bCs/>
          <w:sz w:val="28"/>
          <w:szCs w:val="28"/>
        </w:rPr>
      </w:pPr>
      <w:r>
        <w:rPr>
          <w:rFonts w:hint="eastAsia" w:ascii="仿宋" w:hAnsi="仿宋" w:eastAsia="仿宋" w:cs="仿宋"/>
          <w:bCs/>
          <w:sz w:val="28"/>
          <w:szCs w:val="28"/>
        </w:rPr>
        <w:t xml:space="preserve">    （二）乙方逾期支付租金、管理费、水电费的，应依据第七条第(二）款第3项和第八条第（三）款约定向甲方承担违约责任（包括但不限于</w:t>
      </w:r>
      <w:r>
        <w:rPr>
          <w:rFonts w:hint="eastAsia" w:ascii="仿宋" w:hAnsi="仿宋" w:eastAsia="仿宋" w:cs="仿宋"/>
          <w:bCs/>
          <w:sz w:val="28"/>
          <w:szCs w:val="28"/>
          <w:lang w:eastAsia="zh-CN"/>
        </w:rPr>
        <w:t>继续</w:t>
      </w:r>
      <w:r>
        <w:rPr>
          <w:rFonts w:hint="eastAsia" w:ascii="仿宋" w:hAnsi="仿宋" w:eastAsia="仿宋" w:cs="仿宋"/>
          <w:bCs/>
          <w:sz w:val="28"/>
          <w:szCs w:val="28"/>
        </w:rPr>
        <w:t>支付支付租金、</w:t>
      </w:r>
      <w:r>
        <w:rPr>
          <w:rFonts w:hint="eastAsia" w:ascii="仿宋" w:hAnsi="仿宋" w:eastAsia="仿宋" w:cs="仿宋"/>
          <w:bCs/>
          <w:sz w:val="28"/>
          <w:szCs w:val="28"/>
          <w:lang w:eastAsia="zh-CN"/>
        </w:rPr>
        <w:t>管理费、</w:t>
      </w:r>
      <w:r>
        <w:rPr>
          <w:rFonts w:hint="eastAsia" w:ascii="仿宋" w:hAnsi="仿宋" w:eastAsia="仿宋" w:cs="仿宋"/>
          <w:bCs/>
          <w:sz w:val="28"/>
          <w:szCs w:val="28"/>
        </w:rPr>
        <w:t>水电费等所有费用</w:t>
      </w:r>
      <w:r>
        <w:rPr>
          <w:rFonts w:hint="eastAsia" w:ascii="仿宋" w:hAnsi="仿宋" w:eastAsia="仿宋" w:cs="仿宋"/>
          <w:bCs/>
          <w:sz w:val="28"/>
          <w:szCs w:val="28"/>
          <w:lang w:val="en-US" w:eastAsia="zh-CN"/>
        </w:rPr>
        <w:t>以及逾期付款</w:t>
      </w:r>
      <w:r>
        <w:rPr>
          <w:rFonts w:hint="eastAsia" w:ascii="仿宋" w:hAnsi="仿宋" w:eastAsia="仿宋" w:cs="仿宋"/>
          <w:bCs/>
          <w:sz w:val="28"/>
          <w:szCs w:val="28"/>
        </w:rPr>
        <w:t>违约金）。</w:t>
      </w:r>
    </w:p>
    <w:p w14:paraId="03DF0B3A">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三）本合同租期届满后乙方仍继续使用租赁物业的，若甲方要求收回该租赁物业，乙方拒绝交出或逾期交还该租赁物业的，甲方除有权要求乙方限期迁出和支付实际占用租赁物业期间的租金外，还有权按该实际占用期内租金总额的</w:t>
      </w:r>
      <w:r>
        <w:rPr>
          <w:rFonts w:ascii="仿宋" w:hAnsi="仿宋" w:eastAsia="仿宋" w:cs="仿宋"/>
          <w:bCs/>
          <w:sz w:val="28"/>
          <w:szCs w:val="28"/>
          <w:u w:val="single"/>
        </w:rPr>
        <w:t>10</w:t>
      </w:r>
      <w:r>
        <w:rPr>
          <w:rFonts w:hint="eastAsia" w:ascii="仿宋" w:hAnsi="仿宋" w:eastAsia="仿宋" w:cs="仿宋"/>
          <w:bCs/>
          <w:sz w:val="28"/>
          <w:szCs w:val="28"/>
        </w:rPr>
        <w:t>%收取违约金。实际占用期租金=租赁合同月租金÷30天×实际占用天数。</w:t>
      </w:r>
    </w:p>
    <w:p w14:paraId="1EBE5B9B">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（四）租赁期内，任何一方不得单方面提前解除合同，本合同约定或法定的事由除外。如甲方提前解除合同、收回该租赁物业的，须提前</w:t>
      </w:r>
      <w:r>
        <w:rPr>
          <w:rFonts w:hint="eastAsia" w:ascii="仿宋" w:hAnsi="仿宋" w:eastAsia="仿宋" w:cs="仿宋"/>
          <w:bCs/>
          <w:sz w:val="28"/>
          <w:szCs w:val="28"/>
          <w:lang w:val="en-US" w:eastAsia="zh-CN"/>
        </w:rPr>
        <w:t>30天</w:t>
      </w:r>
      <w:r>
        <w:rPr>
          <w:rFonts w:hint="eastAsia" w:ascii="仿宋" w:hAnsi="仿宋" w:eastAsia="仿宋" w:cs="仿宋"/>
          <w:bCs/>
          <w:sz w:val="28"/>
          <w:szCs w:val="28"/>
        </w:rPr>
        <w:t>书面通知乙方并在扣除相关费用后退还押金给乙方，但若甲方根据本合同约定的事由提前解除合同的，则甲方无需承担本条本项约定的违约责任；在甲方通知之日起至乙方完全搬离之日止的期间，乙方须照常支付租金。如乙方提前解除/终止合同，须提前</w:t>
      </w:r>
      <w:r>
        <w:rPr>
          <w:rFonts w:hint="eastAsia" w:ascii="仿宋" w:hAnsi="仿宋" w:eastAsia="仿宋" w:cs="仿宋"/>
          <w:bCs/>
          <w:sz w:val="28"/>
          <w:szCs w:val="28"/>
          <w:lang w:val="en-US" w:eastAsia="zh-CN"/>
        </w:rPr>
        <w:t>30天</w:t>
      </w:r>
      <w:r>
        <w:rPr>
          <w:rFonts w:hint="eastAsia" w:ascii="仿宋" w:hAnsi="仿宋" w:eastAsia="仿宋" w:cs="仿宋"/>
          <w:bCs/>
          <w:sz w:val="28"/>
          <w:szCs w:val="28"/>
        </w:rPr>
        <w:t>书面通知甲方，并除按本合同第五条第（四）款、第（五）款的约定履行相关义务外，甲方收取押金不予返还，乙方应在解除合同之日向甲方结清租金、物业管理费、水、电费用等所有费用，且因此给甲方造成损失的，由乙方承担赔偿责任（包括但不限于涉诉产生律师费、诉讼费等所有费用）。</w:t>
      </w:r>
    </w:p>
    <w:p w14:paraId="07CD113E">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bookmarkStart w:id="3" w:name="_Hlk101775978"/>
      <w:r>
        <w:rPr>
          <w:rFonts w:hint="eastAsia" w:ascii="仿宋" w:hAnsi="仿宋" w:eastAsia="仿宋" w:cs="仿宋"/>
          <w:bCs/>
          <w:sz w:val="28"/>
          <w:szCs w:val="28"/>
        </w:rPr>
        <w:t>（五）本合同因双方协商解除合同、按合同约定解除合同、租赁期满、不可抗力因素等原因终止或解除，或续租期间甲方要求收回该租赁房屋的，或是甲方因上述第八条之第（三）款、第（五）款原因单方解除合同，乙方应当在终止合同或解除合同之日搬离及交还租赁房屋；如乙方逾期不交出租赁房屋的，甲方除有权要求乙方在限期内搬离和交还租赁房屋、迁出租赁房屋地址以及要求乙方支付占用期的租金（即占用费）外，乙方还应按照逾期迁出租赁物业期间租金总额的</w:t>
      </w:r>
      <w:r>
        <w:rPr>
          <w:rFonts w:ascii="仿宋" w:hAnsi="仿宋" w:eastAsia="仿宋" w:cs="仿宋"/>
          <w:bCs/>
          <w:sz w:val="28"/>
          <w:szCs w:val="28"/>
        </w:rPr>
        <w:t>10</w:t>
      </w:r>
      <w:r>
        <w:rPr>
          <w:rFonts w:hint="eastAsia" w:ascii="仿宋" w:hAnsi="仿宋" w:eastAsia="仿宋" w:cs="仿宋"/>
          <w:bCs/>
          <w:sz w:val="28"/>
          <w:szCs w:val="28"/>
        </w:rPr>
        <w:t>%支付违约金。由此造成甲方损失的，乙方还应承担相应的赔偿责任。</w:t>
      </w:r>
    </w:p>
    <w:p w14:paraId="611B3962">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如乙方逾期未交还租赁房屋给甲方，甲方有权采取一切甲方认为必要的行动强行收回租赁房屋（包括但不限于甲方自行开启及更换锁具等），但应当有公证部门在场见证。由此产生的损失及甲方强行收回租赁房屋所产生的费用（包括但不限于撤场费、公证费等）由乙方承担。租赁房屋内乙方的财物，由甲方在公证机关见证下清点并暂时保管，并通知乙方限期领取，逾期视为乙方放弃其所有权和其他权利，由甲方自行处置，甲方无须给予乙方补偿。</w:t>
      </w:r>
    </w:p>
    <w:p w14:paraId="6C7557D7">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（六）租赁期限到期或合同解除、终止之日前乙方仍未将企业注册地址迁出租赁房屋地址的（即仍未变更企业注册登记地址），视为乙方违约，自逾期迁出之日起，每逾期迁出一天，乙方应承担人民币</w:t>
      </w:r>
      <w:r>
        <w:rPr>
          <w:rFonts w:hint="eastAsia" w:ascii="仿宋" w:hAnsi="仿宋" w:eastAsia="仿宋" w:cs="仿宋"/>
          <w:bCs/>
          <w:sz w:val="28"/>
          <w:szCs w:val="28"/>
          <w:u w:val="single"/>
        </w:rPr>
        <w:t xml:space="preserve"> </w:t>
      </w:r>
      <w:r>
        <w:rPr>
          <w:rFonts w:ascii="仿宋" w:hAnsi="仿宋" w:eastAsia="仿宋" w:cs="仿宋"/>
          <w:bCs/>
          <w:sz w:val="28"/>
          <w:szCs w:val="28"/>
          <w:u w:val="single"/>
        </w:rPr>
        <w:t>100</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元的违约金。</w:t>
      </w:r>
      <w:bookmarkEnd w:id="3"/>
      <w:r>
        <w:rPr>
          <w:rFonts w:hint="eastAsia" w:ascii="仿宋" w:hAnsi="仿宋" w:eastAsia="仿宋" w:cs="仿宋"/>
          <w:bCs/>
          <w:sz w:val="28"/>
          <w:szCs w:val="28"/>
        </w:rPr>
        <w:t>按照本合同第二条第（一）款续租期间除外。</w:t>
      </w:r>
    </w:p>
    <w:p w14:paraId="6CB7BAE1">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免责条件</w:t>
      </w:r>
    </w:p>
    <w:p w14:paraId="5F89399B">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（一）因不可抗力原因致使本合同不能继续履行或造成的损失，甲、乙双方互不承担责任。</w:t>
      </w:r>
    </w:p>
    <w:p w14:paraId="2E73D07E">
      <w:pPr>
        <w:pStyle w:val="7"/>
        <w:tabs>
          <w:tab w:val="left" w:pos="108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二）不可抗力系指“不能预见、不能避免并不能克服的客观情况”，遇有上述不可抗力的一方，应立即用邮递或传真通知对方，并应在三十日内，提供不可抗力的详情及合同不能履行，或部分不能履行，或需延期履行的理由及证明文件。该项证明文件应由不可抗力发生地区的相关政府部门出具。</w:t>
      </w:r>
    </w:p>
    <w:p w14:paraId="2C123BCE">
      <w:pPr>
        <w:pStyle w:val="7"/>
        <w:tabs>
          <w:tab w:val="left" w:pos="1080"/>
        </w:tabs>
        <w:snapToGrid w:val="0"/>
        <w:spacing w:before="0" w:beforeAutospacing="0" w:after="0" w:afterAutospacing="0" w:line="520" w:lineRule="exact"/>
        <w:ind w:left="0" w:firstLine="560" w:firstLineChars="200"/>
        <w:jc w:val="both"/>
        <w:rPr>
          <w:rFonts w:ascii="仿宋" w:hAnsi="仿宋" w:eastAsia="仿宋" w:cs="仿宋"/>
          <w:bCs/>
          <w:sz w:val="28"/>
          <w:szCs w:val="28"/>
        </w:rPr>
      </w:pPr>
      <w:r>
        <w:rPr>
          <w:rFonts w:hint="eastAsia" w:ascii="仿宋" w:hAnsi="仿宋" w:eastAsia="仿宋" w:cs="仿宋"/>
          <w:bCs/>
          <w:sz w:val="28"/>
          <w:szCs w:val="28"/>
        </w:rPr>
        <w:t>（三）因政府征收需要拆除、搬迁、土地被收储</w:t>
      </w:r>
      <w:r>
        <w:rPr>
          <w:rFonts w:hint="eastAsia" w:ascii="仿宋" w:hAnsi="仿宋" w:eastAsia="仿宋" w:cs="仿宋"/>
          <w:bCs/>
          <w:sz w:val="28"/>
          <w:szCs w:val="28"/>
          <w:lang w:eastAsia="zh-CN"/>
        </w:rPr>
        <w:t>，</w:t>
      </w:r>
      <w:r>
        <w:rPr>
          <w:rFonts w:hint="eastAsia" w:ascii="仿宋" w:hAnsi="仿宋" w:eastAsia="仿宋" w:cs="仿宋"/>
          <w:bCs/>
          <w:sz w:val="28"/>
          <w:szCs w:val="28"/>
        </w:rPr>
        <w:t>或甲方需开发改造已租赁的物业：</w:t>
      </w:r>
    </w:p>
    <w:p w14:paraId="528D12FE">
      <w:pPr>
        <w:pStyle w:val="7"/>
        <w:tabs>
          <w:tab w:val="left" w:pos="1080"/>
        </w:tabs>
        <w:snapToGrid w:val="0"/>
        <w:spacing w:before="0" w:beforeAutospacing="0" w:after="0" w:afterAutospacing="0" w:line="520" w:lineRule="exact"/>
        <w:ind w:left="90"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1、</w:t>
      </w:r>
      <w:r>
        <w:rPr>
          <w:rFonts w:hint="eastAsia" w:ascii="仿宋" w:hAnsi="仿宋" w:eastAsia="仿宋" w:cs="仿宋"/>
          <w:bCs/>
          <w:sz w:val="28"/>
          <w:szCs w:val="28"/>
        </w:rPr>
        <w:t xml:space="preserve">使甲、乙双方遭受损失的，甲乙双方互不承担责任，由此造成的损失由双方自行承担各自的损失，任何一方不得以任何形式向对方主张损失或补偿、赔偿。以下约定除外。    </w:t>
      </w:r>
    </w:p>
    <w:p w14:paraId="500FC42D">
      <w:pPr>
        <w:pStyle w:val="7"/>
        <w:tabs>
          <w:tab w:val="left" w:pos="1080"/>
          <w:tab w:val="left" w:pos="1560"/>
        </w:tabs>
        <w:snapToGrid w:val="0"/>
        <w:spacing w:before="0" w:beforeAutospacing="0" w:after="0" w:afterAutospacing="0" w:line="520" w:lineRule="exact"/>
        <w:ind w:firstLine="560" w:firstLineChars="200"/>
        <w:jc w:val="both"/>
        <w:rPr>
          <w:rFonts w:hint="eastAsia" w:ascii="仿宋" w:hAnsi="仿宋" w:eastAsia="仿宋" w:cs="仿宋"/>
          <w:bCs/>
          <w:sz w:val="28"/>
          <w:szCs w:val="28"/>
        </w:rPr>
      </w:pPr>
      <w:r>
        <w:rPr>
          <w:rFonts w:hint="eastAsia" w:ascii="仿宋" w:hAnsi="仿宋" w:eastAsia="仿宋" w:cs="仿宋"/>
          <w:bCs/>
          <w:sz w:val="28"/>
          <w:szCs w:val="28"/>
          <w:lang w:val="en-US" w:eastAsia="zh-CN"/>
        </w:rPr>
        <w:t>2、</w:t>
      </w:r>
      <w:r>
        <w:rPr>
          <w:rFonts w:hint="eastAsia" w:ascii="仿宋" w:hAnsi="仿宋" w:eastAsia="仿宋" w:cs="仿宋"/>
          <w:bCs/>
          <w:sz w:val="28"/>
          <w:szCs w:val="28"/>
        </w:rPr>
        <w:t>甲方应提前30日书面通知乙方解除本合同，乙方应当在解除合同之日搬离及交还租赁房屋，如乙方逾期交还租赁房屋的，甲方有权要求乙方按照本合同第九条第（五）款约定承担违约责任。</w:t>
      </w:r>
    </w:p>
    <w:p w14:paraId="091E8D38">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3、</w:t>
      </w:r>
      <w:r>
        <w:rPr>
          <w:rFonts w:hint="eastAsia" w:ascii="仿宋" w:hAnsi="仿宋" w:eastAsia="仿宋" w:cs="仿宋"/>
          <w:bCs/>
          <w:sz w:val="28"/>
          <w:szCs w:val="28"/>
        </w:rPr>
        <w:t>租赁房屋因政府征收所获得的拆迁补偿款的归属按照如下约定确定：</w:t>
      </w:r>
    </w:p>
    <w:p w14:paraId="741C42E1">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rPr>
        <w:t>1</w:t>
      </w:r>
      <w:r>
        <w:rPr>
          <w:rFonts w:hint="eastAsia" w:ascii="仿宋" w:hAnsi="仿宋" w:eastAsia="仿宋" w:cs="仿宋"/>
          <w:bCs/>
          <w:sz w:val="28"/>
          <w:szCs w:val="28"/>
          <w:lang w:eastAsia="zh-CN"/>
        </w:rPr>
        <w:t>）</w:t>
      </w:r>
      <w:r>
        <w:rPr>
          <w:rFonts w:hint="eastAsia" w:ascii="仿宋" w:hAnsi="仿宋" w:eastAsia="仿宋" w:cs="仿宋"/>
          <w:bCs/>
          <w:sz w:val="28"/>
          <w:szCs w:val="28"/>
        </w:rPr>
        <w:t>如经甲方书面同意装修且乙方自行出资在租赁房屋进行新、扩、加、改建（含改变间隔、加建建筑物、构筑物及配套设施）、装修或改造、增加、添附设备、建筑物、构筑物、配套设施、装饰装修物的：（1）乙方新建、加建建（构）筑物按：乙方新建、加建建（构）筑物补偿款*（剩余租期</w:t>
      </w:r>
      <w:r>
        <w:rPr>
          <w:rFonts w:ascii="Arial" w:hAnsi="Arial" w:eastAsia="仿宋" w:cs="Arial"/>
          <w:bCs/>
          <w:sz w:val="28"/>
          <w:szCs w:val="28"/>
        </w:rPr>
        <w:t>÷</w:t>
      </w:r>
      <w:r>
        <w:rPr>
          <w:rFonts w:hint="eastAsia" w:ascii="仿宋" w:hAnsi="仿宋" w:eastAsia="仿宋" w:cs="仿宋"/>
          <w:bCs/>
          <w:sz w:val="28"/>
          <w:szCs w:val="28"/>
        </w:rPr>
        <w:t>全部租期）标准归属乙方；乙方扩建、改建建（构）物按：乙方扩建、改建建（构）物补偿款*（剩余租期÷全部租期）标准归属乙方；（2）乙方改、扩、加建地上附着物按：乙方改、扩、加建地上附着物补偿款*（剩余租期÷全部租期）标准归属乙方。租赁房屋以及地上其他项目的拆迁补偿款全部归甲方所有；</w:t>
      </w:r>
    </w:p>
    <w:p w14:paraId="7B3EB203">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2</w:t>
      </w:r>
      <w:r>
        <w:rPr>
          <w:rFonts w:hint="eastAsia" w:ascii="仿宋" w:hAnsi="仿宋" w:eastAsia="仿宋" w:cs="仿宋"/>
          <w:bCs/>
          <w:sz w:val="28"/>
          <w:szCs w:val="28"/>
          <w:lang w:eastAsia="zh-CN"/>
        </w:rPr>
        <w:t>）</w:t>
      </w:r>
      <w:r>
        <w:rPr>
          <w:rFonts w:hint="eastAsia" w:ascii="仿宋" w:hAnsi="仿宋" w:eastAsia="仿宋" w:cs="仿宋"/>
          <w:bCs/>
          <w:sz w:val="28"/>
          <w:szCs w:val="28"/>
        </w:rPr>
        <w:t>如甲方出资自行出资在租赁房屋新、扩、加、改建（含改变间隔、加建建筑物、构筑物及配套设施）、装修或改造、增加、添附设备、建筑物、构筑物、配套设施、装饰装修物的，租赁房屋以及地上其他项目的拆迁补偿款全部归甲方所有；</w:t>
      </w:r>
    </w:p>
    <w:p w14:paraId="2F401C18">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3</w:t>
      </w:r>
      <w:r>
        <w:rPr>
          <w:rFonts w:hint="eastAsia" w:ascii="仿宋" w:hAnsi="仿宋" w:eastAsia="仿宋" w:cs="仿宋"/>
          <w:bCs/>
          <w:sz w:val="28"/>
          <w:szCs w:val="28"/>
          <w:lang w:eastAsia="zh-CN"/>
        </w:rPr>
        <w:t>）</w:t>
      </w:r>
      <w:r>
        <w:rPr>
          <w:rFonts w:hint="eastAsia" w:ascii="仿宋" w:hAnsi="仿宋" w:eastAsia="仿宋" w:cs="仿宋"/>
          <w:bCs/>
          <w:sz w:val="28"/>
          <w:szCs w:val="28"/>
        </w:rPr>
        <w:t>如甲、乙双方共同出资或乙方在甲方已有建筑物、地上附着物的基础上在租赁房屋新、扩、加、改建（含改变间隔、加建建筑物、构筑物及配套设施）、装修或改造、增加、添附设备、建筑物、构筑物、配套设施、装饰装修物的，租赁房屋的拆迁补偿款中装饰装修工程补偿款以及地上附着物补偿款按照甲、乙双方出资比例确定乙方获得补偿的基数，再按：乙方获得补偿的基数*（剩余租期÷全部租期）标准归属乙方。租赁房屋以及地上其他项目的拆迁补偿款全部归甲方所有。</w:t>
      </w:r>
    </w:p>
    <w:p w14:paraId="49829A10">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4</w:t>
      </w:r>
      <w:r>
        <w:rPr>
          <w:rFonts w:hint="eastAsia" w:ascii="仿宋" w:hAnsi="仿宋" w:eastAsia="仿宋" w:cs="仿宋"/>
          <w:bCs/>
          <w:sz w:val="28"/>
          <w:szCs w:val="28"/>
          <w:lang w:eastAsia="zh-CN"/>
        </w:rPr>
        <w:t>）</w:t>
      </w:r>
      <w:r>
        <w:rPr>
          <w:rFonts w:hint="eastAsia" w:ascii="仿宋" w:hAnsi="仿宋" w:eastAsia="仿宋" w:cs="仿宋"/>
          <w:bCs/>
          <w:sz w:val="28"/>
          <w:szCs w:val="28"/>
        </w:rPr>
        <w:t>政府或拆迁征收单位如有对乙方的经营损失有赔偿补贴的归乙方所有，具体补偿以政府或拆迁征收单位为准。</w:t>
      </w:r>
    </w:p>
    <w:p w14:paraId="325D2D62">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如前述装饰装修物补偿款在征收拆迁补偿款中无法进行区分的，由甲乙方共同指定评估机构进行评估，装饰装修物补偿款以评估金额为准。以上补偿款金额以政府部门补偿金额为限，如政府部门对装饰装修项目没有任何补偿，则乙方相应也没有任何补偿。</w:t>
      </w:r>
    </w:p>
    <w:p w14:paraId="6F944039">
      <w:pPr>
        <w:pStyle w:val="7"/>
        <w:tabs>
          <w:tab w:val="left" w:pos="1080"/>
          <w:tab w:val="left" w:pos="1560"/>
        </w:tabs>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乙方完全认可本条款以及本合同内容，不存在显失公平或格式合同条款的可撤销、可变更情形，甲方已尽充分的提示和说明义务。</w:t>
      </w:r>
    </w:p>
    <w:p w14:paraId="2570D04E">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4、</w:t>
      </w:r>
      <w:r>
        <w:rPr>
          <w:rFonts w:hint="eastAsia" w:ascii="仿宋" w:hAnsi="仿宋" w:eastAsia="仿宋" w:cs="仿宋"/>
          <w:bCs/>
          <w:sz w:val="28"/>
          <w:szCs w:val="28"/>
        </w:rPr>
        <w:t>因上述原因而终止合同的，租金等相关费用按照实际使用时间计算，不足整月的按天数计算，多退少补。水电及相关费用按实际发生额计算，同时，乙方应结清经营、使用租赁物业或使用租赁物业地址注册公司所产生各类税费等费用。</w:t>
      </w:r>
    </w:p>
    <w:p w14:paraId="73F41514">
      <w:pPr>
        <w:pStyle w:val="7"/>
        <w:numPr>
          <w:ilvl w:val="255"/>
          <w:numId w:val="0"/>
        </w:numPr>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无论因任何原因本合同被认定无效的，双方仍参照本合同约定条款执行。</w:t>
      </w:r>
    </w:p>
    <w:p w14:paraId="75D98AD0">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 xml:space="preserve">  争议解决</w:t>
      </w:r>
    </w:p>
    <w:p w14:paraId="1D3C5882">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任何因本合同而起或与本合同有关的争议，双方应通过友好协商解决。若双方未能通过友好协商的方式解决，任何一方均可向租赁物业所在地的人民法院提起诉讼。因此产生的诉讼成本（包括但不限于诉讼费、律师费、鉴定费、保全费、差旅费等）由败诉方承担。</w:t>
      </w:r>
    </w:p>
    <w:p w14:paraId="2F1C46FF">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 xml:space="preserve">  通知与送达</w:t>
      </w:r>
    </w:p>
    <w:p w14:paraId="6ADC8152">
      <w:pPr>
        <w:spacing w:line="360" w:lineRule="auto"/>
        <w:ind w:firstLine="560" w:firstLineChars="200"/>
        <w:rPr>
          <w:rFonts w:ascii="仿宋" w:hAnsi="仿宋" w:eastAsia="仿宋" w:cs="仿宋"/>
          <w:sz w:val="28"/>
          <w:szCs w:val="28"/>
        </w:rPr>
      </w:pPr>
      <w:r>
        <w:rPr>
          <w:rFonts w:hint="eastAsia" w:ascii="仿宋" w:hAnsi="仿宋" w:eastAsia="仿宋" w:cs="仿宋"/>
          <w:bCs/>
          <w:sz w:val="28"/>
          <w:szCs w:val="28"/>
        </w:rPr>
        <w:t>（一）</w:t>
      </w:r>
      <w:r>
        <w:rPr>
          <w:rFonts w:hint="eastAsia" w:ascii="仿宋" w:hAnsi="仿宋" w:eastAsia="仿宋" w:cs="仿宋"/>
          <w:sz w:val="28"/>
          <w:szCs w:val="28"/>
        </w:rPr>
        <w:t>甲方确认有效的送达地址为：</w:t>
      </w:r>
      <w:r>
        <w:rPr>
          <w:rFonts w:hint="eastAsia" w:ascii="仿宋" w:hAnsi="仿宋" w:eastAsia="仿宋" w:cs="仿宋"/>
          <w:sz w:val="28"/>
          <w:szCs w:val="28"/>
          <w:u w:val="single"/>
          <w:lang w:eastAsia="zh-CN"/>
        </w:rPr>
        <w:t xml:space="preserve"> 广州市南沙区万顷沙镇新港大道701号</w:t>
      </w:r>
      <w:r>
        <w:rPr>
          <w:rFonts w:hint="eastAsia" w:ascii="仿宋" w:hAnsi="仿宋" w:eastAsia="仿宋" w:cs="仿宋"/>
          <w:sz w:val="28"/>
          <w:szCs w:val="28"/>
        </w:rPr>
        <w:t>，联系人</w:t>
      </w:r>
      <w:bookmarkStart w:id="4" w:name="_Hlk512523785"/>
      <w:r>
        <w:rPr>
          <w:rFonts w:hint="eastAsia" w:ascii="仿宋" w:hAnsi="仿宋" w:eastAsia="仿宋" w:cs="仿宋"/>
          <w:sz w:val="28"/>
          <w:szCs w:val="28"/>
        </w:rPr>
        <w:t>：</w:t>
      </w:r>
      <w:r>
        <w:rPr>
          <w:rFonts w:hint="eastAsia" w:ascii="仿宋" w:hAnsi="仿宋" w:eastAsia="仿宋" w:cs="仿宋"/>
          <w:sz w:val="28"/>
          <w:szCs w:val="28"/>
          <w:u w:val="single"/>
        </w:rPr>
        <w:t>段</w:t>
      </w:r>
      <w:r>
        <w:rPr>
          <w:rFonts w:hint="eastAsia" w:ascii="仿宋" w:hAnsi="仿宋" w:eastAsia="仿宋" w:cs="仿宋"/>
          <w:sz w:val="28"/>
          <w:szCs w:val="28"/>
          <w:u w:val="single"/>
          <w:lang w:val="en-US" w:eastAsia="zh-CN"/>
        </w:rPr>
        <w:t>桂敏</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13434104875 </w:t>
      </w:r>
      <w:r>
        <w:rPr>
          <w:rFonts w:hint="eastAsia" w:ascii="仿宋" w:hAnsi="仿宋" w:eastAsia="仿宋" w:cs="仿宋"/>
          <w:sz w:val="28"/>
          <w:szCs w:val="28"/>
        </w:rPr>
        <w:t>。</w:t>
      </w:r>
    </w:p>
    <w:p w14:paraId="285A1B14">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（二）乙方确认有效的送达地址为：</w:t>
      </w:r>
      <w:bookmarkEnd w:id="4"/>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，联系人：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p w14:paraId="23CDA483">
      <w:pPr>
        <w:spacing w:line="360" w:lineRule="auto"/>
        <w:ind w:firstLine="560" w:firstLineChars="200"/>
        <w:textAlignment w:val="baseline"/>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三）本合同在履行过程中所发生的所有通知、文件、文书、资料等，均以本合同所列明的双方地址或电子邮箱送达。任何一方地址变迁或电子邮箱、电话变更，应在变更前三天内书面通知另一方。否则，另一方仍按原址邮寄（无论是否已送达）或原邮箱发送的，即视为已履行送达义务。 </w:t>
      </w:r>
    </w:p>
    <w:p w14:paraId="232CEBB1">
      <w:pPr>
        <w:spacing w:line="360" w:lineRule="auto"/>
        <w:ind w:firstLine="560" w:firstLineChars="200"/>
        <w:textAlignment w:val="baseline"/>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（四）甲、乙双方要确保本合同的通讯地址及联系方式真实有效，否则，造成的一切后果及损失，由失实失责方承担。</w:t>
      </w:r>
    </w:p>
    <w:p w14:paraId="0D5A9E53">
      <w:pPr>
        <w:pStyle w:val="7"/>
        <w:numPr>
          <w:ilvl w:val="0"/>
          <w:numId w:val="1"/>
        </w:numPr>
        <w:snapToGrid w:val="0"/>
        <w:spacing w:before="0" w:beforeAutospacing="0" w:after="0" w:afterAutospacing="0" w:line="520" w:lineRule="exact"/>
        <w:jc w:val="both"/>
        <w:rPr>
          <w:rFonts w:ascii="仿宋" w:hAnsi="仿宋" w:eastAsia="仿宋" w:cs="仿宋"/>
          <w:b/>
          <w:sz w:val="28"/>
          <w:szCs w:val="28"/>
        </w:rPr>
      </w:pPr>
      <w:r>
        <w:rPr>
          <w:rFonts w:hint="eastAsia" w:ascii="仿宋" w:hAnsi="仿宋" w:eastAsia="仿宋" w:cs="仿宋"/>
          <w:b/>
          <w:sz w:val="28"/>
          <w:szCs w:val="28"/>
        </w:rPr>
        <w:t xml:space="preserve">  附则</w:t>
      </w:r>
    </w:p>
    <w:p w14:paraId="68789264">
      <w:pPr>
        <w:pStyle w:val="7"/>
        <w:numPr>
          <w:ilvl w:val="0"/>
          <w:numId w:val="3"/>
        </w:numPr>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本合同未尽事宜，经甲、乙双方协商一致，可订立补充协议。补充协议及附件均为本合同组成部分，与本合同具有同等法律效力。</w:t>
      </w:r>
    </w:p>
    <w:p w14:paraId="74950807">
      <w:pPr>
        <w:pStyle w:val="7"/>
        <w:numPr>
          <w:ilvl w:val="0"/>
          <w:numId w:val="3"/>
        </w:numPr>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本合同自甲、乙双方法定代表人或授权代表签名并加盖公章之日起成立并生效。</w:t>
      </w:r>
    </w:p>
    <w:p w14:paraId="1461DE7F">
      <w:pPr>
        <w:pStyle w:val="7"/>
        <w:numPr>
          <w:ilvl w:val="0"/>
          <w:numId w:val="3"/>
        </w:numPr>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本合同一式陆份，甲乙双方各执叁份。具有同等法律效力。</w:t>
      </w:r>
    </w:p>
    <w:p w14:paraId="09A15B9F">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（以下无正文）</w:t>
      </w:r>
    </w:p>
    <w:p w14:paraId="65FAE857">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p>
    <w:p w14:paraId="0E44A00E">
      <w:pPr>
        <w:pStyle w:val="7"/>
        <w:snapToGrid w:val="0"/>
        <w:spacing w:before="0" w:beforeAutospacing="0" w:after="0" w:afterAutospacing="0" w:line="520" w:lineRule="exact"/>
        <w:ind w:firstLine="560" w:firstLineChars="200"/>
        <w:jc w:val="both"/>
        <w:rPr>
          <w:rFonts w:ascii="仿宋" w:hAnsi="仿宋" w:eastAsia="仿宋" w:cs="仿宋"/>
          <w:bCs/>
          <w:sz w:val="28"/>
          <w:szCs w:val="28"/>
        </w:rPr>
      </w:pPr>
      <w:r>
        <w:rPr>
          <w:rFonts w:hint="eastAsia" w:ascii="仿宋" w:hAnsi="仿宋" w:eastAsia="仿宋" w:cs="仿宋"/>
          <w:bCs/>
          <w:sz w:val="28"/>
          <w:szCs w:val="28"/>
        </w:rPr>
        <w:t>附件：1</w:t>
      </w:r>
      <w:r>
        <w:rPr>
          <w:rFonts w:ascii="仿宋" w:hAnsi="仿宋" w:eastAsia="仿宋" w:cs="仿宋"/>
          <w:bCs/>
          <w:sz w:val="28"/>
          <w:szCs w:val="28"/>
        </w:rPr>
        <w:t>.</w:t>
      </w:r>
      <w:r>
        <w:rPr>
          <w:rFonts w:hint="eastAsia" w:ascii="仿宋" w:hAnsi="仿宋" w:eastAsia="仿宋" w:cs="仿宋"/>
          <w:bCs/>
          <w:sz w:val="28"/>
          <w:szCs w:val="28"/>
        </w:rPr>
        <w:t>廉洁共保协议书</w:t>
      </w:r>
    </w:p>
    <w:p w14:paraId="79BD02E3">
      <w:pPr>
        <w:pStyle w:val="7"/>
        <w:numPr>
          <w:ilvl w:val="255"/>
          <w:numId w:val="0"/>
        </w:numPr>
        <w:snapToGrid w:val="0"/>
        <w:spacing w:before="0" w:beforeAutospacing="0" w:after="0" w:afterAutospacing="0" w:line="520" w:lineRule="exact"/>
        <w:ind w:firstLine="1400" w:firstLineChars="500"/>
        <w:jc w:val="both"/>
        <w:rPr>
          <w:rFonts w:ascii="仿宋" w:hAnsi="仿宋" w:eastAsia="仿宋" w:cs="仿宋"/>
          <w:bCs/>
          <w:sz w:val="28"/>
          <w:szCs w:val="28"/>
        </w:rPr>
      </w:pPr>
      <w:r>
        <w:rPr>
          <w:rFonts w:hint="eastAsia" w:ascii="仿宋" w:hAnsi="仿宋" w:eastAsia="仿宋" w:cs="仿宋"/>
          <w:bCs/>
          <w:sz w:val="28"/>
          <w:szCs w:val="28"/>
        </w:rPr>
        <w:t>2.房屋租赁安全生产管理协议</w:t>
      </w:r>
    </w:p>
    <w:p w14:paraId="6324BB72">
      <w:pPr>
        <w:pStyle w:val="7"/>
        <w:numPr>
          <w:ilvl w:val="255"/>
          <w:numId w:val="0"/>
        </w:numPr>
        <w:snapToGrid w:val="0"/>
        <w:spacing w:before="0" w:beforeAutospacing="0" w:after="0" w:afterAutospacing="0" w:line="520" w:lineRule="exact"/>
        <w:ind w:firstLine="1400" w:firstLineChars="500"/>
        <w:jc w:val="both"/>
        <w:rPr>
          <w:rFonts w:ascii="仿宋" w:hAnsi="仿宋" w:eastAsia="仿宋" w:cs="仿宋"/>
          <w:bCs/>
          <w:sz w:val="28"/>
          <w:szCs w:val="28"/>
        </w:rPr>
      </w:pPr>
      <w:r>
        <w:rPr>
          <w:rFonts w:hint="eastAsia" w:ascii="仿宋" w:hAnsi="仿宋" w:eastAsia="仿宋" w:cs="仿宋"/>
          <w:bCs/>
          <w:sz w:val="28"/>
          <w:szCs w:val="28"/>
        </w:rPr>
        <w:t>3.</w:t>
      </w:r>
      <w:r>
        <w:rPr>
          <w:rFonts w:ascii="仿宋" w:hAnsi="仿宋" w:eastAsia="仿宋" w:cs="仿宋"/>
          <w:bCs/>
          <w:sz w:val="28"/>
          <w:szCs w:val="28"/>
        </w:rPr>
        <w:t xml:space="preserve"> </w:t>
      </w:r>
      <w:r>
        <w:rPr>
          <w:rFonts w:hint="eastAsia" w:ascii="仿宋" w:hAnsi="仿宋" w:eastAsia="仿宋" w:cs="仿宋"/>
          <w:bCs/>
          <w:sz w:val="28"/>
          <w:szCs w:val="28"/>
        </w:rPr>
        <w:t>物业现状图及面积汇总表</w:t>
      </w:r>
      <w:r>
        <w:rPr>
          <w:rFonts w:ascii="仿宋" w:hAnsi="仿宋" w:eastAsia="仿宋" w:cs="仿宋"/>
          <w:bCs/>
          <w:sz w:val="28"/>
          <w:szCs w:val="28"/>
        </w:rPr>
        <w:t xml:space="preserve">  </w:t>
      </w:r>
    </w:p>
    <w:p w14:paraId="1337DD5B">
      <w:pPr>
        <w:pStyle w:val="7"/>
        <w:numPr>
          <w:ilvl w:val="255"/>
          <w:numId w:val="0"/>
        </w:numPr>
        <w:snapToGrid w:val="0"/>
        <w:spacing w:before="0" w:beforeAutospacing="0" w:after="0" w:afterAutospacing="0" w:line="520" w:lineRule="exact"/>
        <w:ind w:firstLine="1400" w:firstLineChars="500"/>
        <w:rPr>
          <w:rFonts w:ascii="仿宋" w:hAnsi="仿宋" w:eastAsia="仿宋" w:cs="仿宋"/>
          <w:bCs/>
          <w:sz w:val="28"/>
          <w:szCs w:val="28"/>
        </w:rPr>
      </w:pPr>
    </w:p>
    <w:p w14:paraId="354E25C1">
      <w:pPr>
        <w:pStyle w:val="7"/>
        <w:numPr>
          <w:ilvl w:val="255"/>
          <w:numId w:val="0"/>
        </w:numPr>
        <w:snapToGrid w:val="0"/>
        <w:spacing w:before="0" w:beforeAutospacing="0" w:after="0" w:afterAutospacing="0" w:line="520" w:lineRule="exact"/>
        <w:ind w:firstLine="1400" w:firstLineChars="500"/>
        <w:rPr>
          <w:rFonts w:ascii="仿宋" w:hAnsi="仿宋" w:eastAsia="仿宋" w:cs="仿宋"/>
          <w:bCs/>
          <w:sz w:val="28"/>
          <w:szCs w:val="28"/>
        </w:rPr>
      </w:pPr>
    </w:p>
    <w:p w14:paraId="6133B6D6">
      <w:pPr>
        <w:pStyle w:val="7"/>
        <w:snapToGrid w:val="0"/>
        <w:spacing w:before="0" w:beforeAutospacing="0" w:after="0" w:afterAutospacing="0" w:line="480" w:lineRule="auto"/>
        <w:ind w:left="7349" w:leftChars="266" w:hanging="6790" w:hangingChars="2425"/>
        <w:rPr>
          <w:rFonts w:ascii="仿宋" w:hAnsi="仿宋" w:eastAsia="仿宋" w:cs="仿宋"/>
          <w:bCs/>
          <w:sz w:val="28"/>
          <w:szCs w:val="28"/>
        </w:rPr>
      </w:pPr>
      <w:r>
        <w:rPr>
          <w:rFonts w:hint="eastAsia" w:ascii="仿宋" w:hAnsi="仿宋" w:eastAsia="仿宋" w:cs="仿宋"/>
          <w:bCs/>
          <w:sz w:val="28"/>
          <w:szCs w:val="28"/>
        </w:rPr>
        <w:t>甲方（公章）：</w:t>
      </w:r>
      <w:r>
        <w:rPr>
          <w:rFonts w:hint="eastAsia" w:ascii="仿宋" w:hAnsi="仿宋" w:eastAsia="仿宋" w:cs="仿宋"/>
          <w:bCs/>
          <w:sz w:val="28"/>
          <w:szCs w:val="28"/>
          <w:lang w:eastAsia="zh-CN"/>
        </w:rPr>
        <w:t>广州南沙科技投资有限公司</w:t>
      </w:r>
      <w:r>
        <w:rPr>
          <w:rFonts w:hint="eastAsia" w:ascii="仿宋" w:hAnsi="仿宋" w:eastAsia="仿宋" w:cs="仿宋"/>
          <w:bCs/>
          <w:sz w:val="28"/>
          <w:szCs w:val="28"/>
        </w:rPr>
        <w:t xml:space="preserve">                       </w:t>
      </w:r>
    </w:p>
    <w:p w14:paraId="17FA1439">
      <w:pPr>
        <w:pStyle w:val="7"/>
        <w:snapToGrid w:val="0"/>
        <w:spacing w:before="0" w:beforeAutospacing="0" w:after="0" w:afterAutospacing="0" w:line="480" w:lineRule="auto"/>
        <w:ind w:firstLine="560" w:firstLineChars="200"/>
        <w:rPr>
          <w:rFonts w:ascii="仿宋" w:hAnsi="仿宋" w:eastAsia="仿宋" w:cs="仿宋"/>
          <w:bCs/>
          <w:sz w:val="28"/>
          <w:szCs w:val="28"/>
        </w:rPr>
      </w:pPr>
      <w:r>
        <w:rPr>
          <w:rFonts w:hint="eastAsia" w:ascii="仿宋" w:hAnsi="仿宋" w:eastAsia="仿宋" w:cs="仿宋"/>
          <w:bCs/>
          <w:sz w:val="28"/>
          <w:szCs w:val="28"/>
        </w:rPr>
        <w:t xml:space="preserve">法定代表人或授权代表（签名）：                       </w:t>
      </w:r>
    </w:p>
    <w:p w14:paraId="6FE6986F">
      <w:pPr>
        <w:pStyle w:val="7"/>
        <w:snapToGrid w:val="0"/>
        <w:spacing w:before="0" w:beforeAutospacing="0" w:after="0" w:afterAutospacing="0" w:line="480" w:lineRule="auto"/>
        <w:ind w:firstLine="560" w:firstLineChars="200"/>
        <w:rPr>
          <w:rFonts w:ascii="仿宋" w:hAnsi="仿宋" w:eastAsia="仿宋" w:cs="仿宋"/>
          <w:bCs/>
          <w:sz w:val="28"/>
          <w:szCs w:val="28"/>
        </w:rPr>
      </w:pPr>
      <w:r>
        <w:rPr>
          <w:rFonts w:hint="eastAsia" w:ascii="仿宋" w:hAnsi="仿宋" w:eastAsia="仿宋" w:cs="仿宋"/>
          <w:bCs/>
          <w:sz w:val="28"/>
          <w:szCs w:val="28"/>
        </w:rPr>
        <w:t>签约日期：202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 xml:space="preserve">年     月    日 　　   　　     </w:t>
      </w:r>
    </w:p>
    <w:p w14:paraId="540B7784">
      <w:pPr>
        <w:spacing w:line="480" w:lineRule="auto"/>
        <w:ind w:firstLine="560" w:firstLineChars="200"/>
        <w:rPr>
          <w:rFonts w:ascii="仿宋" w:hAnsi="仿宋" w:eastAsia="仿宋" w:cs="仿宋"/>
          <w:bCs/>
          <w:sz w:val="28"/>
          <w:szCs w:val="28"/>
        </w:rPr>
      </w:pPr>
    </w:p>
    <w:p w14:paraId="7C72D055">
      <w:pPr>
        <w:spacing w:line="480" w:lineRule="auto"/>
        <w:ind w:firstLine="560" w:firstLineChars="200"/>
        <w:rPr>
          <w:rFonts w:ascii="仿宋" w:hAnsi="仿宋" w:eastAsia="仿宋" w:cs="仿宋"/>
          <w:bCs/>
          <w:sz w:val="28"/>
          <w:szCs w:val="28"/>
        </w:rPr>
      </w:pPr>
      <w:r>
        <w:rPr>
          <w:rFonts w:hint="eastAsia" w:ascii="仿宋" w:hAnsi="仿宋" w:eastAsia="仿宋" w:cs="仿宋"/>
          <w:bCs/>
          <w:sz w:val="28"/>
          <w:szCs w:val="28"/>
        </w:rPr>
        <w:t xml:space="preserve">乙方（公章）： </w:t>
      </w:r>
    </w:p>
    <w:p w14:paraId="5BAF5060">
      <w:pPr>
        <w:spacing w:line="480" w:lineRule="auto"/>
        <w:ind w:firstLine="560" w:firstLineChars="200"/>
        <w:rPr>
          <w:rFonts w:ascii="仿宋" w:hAnsi="仿宋" w:eastAsia="仿宋" w:cs="仿宋"/>
          <w:bCs/>
          <w:sz w:val="28"/>
          <w:szCs w:val="28"/>
        </w:rPr>
      </w:pPr>
      <w:r>
        <w:rPr>
          <w:rFonts w:hint="eastAsia" w:ascii="仿宋" w:hAnsi="仿宋" w:eastAsia="仿宋" w:cs="仿宋"/>
          <w:bCs/>
          <w:sz w:val="28"/>
          <w:szCs w:val="28"/>
        </w:rPr>
        <w:t>法定代表人或授权代表（签名）:</w:t>
      </w:r>
    </w:p>
    <w:p w14:paraId="6FAB6AAF">
      <w:pPr>
        <w:spacing w:line="480" w:lineRule="auto"/>
        <w:ind w:firstLine="560" w:firstLineChars="200"/>
        <w:rPr>
          <w:rFonts w:ascii="仿宋" w:hAnsi="仿宋" w:eastAsia="仿宋" w:cs="仿宋"/>
          <w:bCs/>
          <w:sz w:val="28"/>
          <w:szCs w:val="28"/>
        </w:rPr>
      </w:pPr>
      <w:r>
        <w:rPr>
          <w:rFonts w:hint="eastAsia" w:ascii="仿宋" w:hAnsi="仿宋" w:eastAsia="仿宋" w:cs="仿宋"/>
          <w:bCs/>
          <w:sz w:val="28"/>
          <w:szCs w:val="28"/>
        </w:rPr>
        <w:t>签约日期：202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 xml:space="preserve">年    月   日 </w:t>
      </w:r>
      <w:bookmarkEnd w:id="0"/>
    </w:p>
    <w:p w14:paraId="1E28A66D">
      <w:pPr>
        <w:spacing w:line="360" w:lineRule="auto"/>
        <w:ind w:left="-2" w:leftChars="-1" w:firstLine="560" w:firstLineChars="200"/>
      </w:pPr>
      <w:r>
        <w:rPr>
          <w:rFonts w:hint="eastAsia" w:ascii="仿宋" w:hAnsi="仿宋" w:eastAsia="仿宋" w:cs="宋体"/>
          <w:sz w:val="28"/>
          <w:szCs w:val="28"/>
        </w:rPr>
        <w:t>签订地点：广州市南沙区</w:t>
      </w:r>
    </w:p>
    <w:p w14:paraId="4E8CC406">
      <w:pPr>
        <w:widowControl/>
        <w:spacing w:line="540" w:lineRule="exact"/>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br w:type="page"/>
      </w:r>
    </w:p>
    <w:p w14:paraId="0948E87C">
      <w:pPr>
        <w:widowControl/>
        <w:spacing w:line="540" w:lineRule="exac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附件1：廉洁共保协议书</w:t>
      </w:r>
    </w:p>
    <w:p w14:paraId="4D0B8967">
      <w:pPr>
        <w:spacing w:line="480" w:lineRule="exact"/>
        <w:jc w:val="center"/>
        <w:textAlignment w:val="baseline"/>
        <w:rPr>
          <w:rFonts w:ascii="仿宋_GB2312" w:hAnsi="仿宋_GB2312" w:eastAsia="仿宋_GB2312" w:cs="仿宋_GB2312"/>
          <w:b/>
          <w:bCs/>
          <w:sz w:val="44"/>
          <w:szCs w:val="44"/>
        </w:rPr>
      </w:pPr>
    </w:p>
    <w:p w14:paraId="4EA322A3">
      <w:pPr>
        <w:spacing w:line="480" w:lineRule="exact"/>
        <w:jc w:val="center"/>
        <w:textAlignment w:val="baseline"/>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廉洁共保协议书</w:t>
      </w:r>
    </w:p>
    <w:p w14:paraId="6374A878">
      <w:pPr>
        <w:spacing w:line="480" w:lineRule="exact"/>
        <w:ind w:firstLine="640"/>
        <w:textAlignment w:val="baseline"/>
        <w:rPr>
          <w:rFonts w:ascii="仿宋" w:hAnsi="仿宋" w:eastAsia="仿宋" w:cs="仿宋"/>
          <w:sz w:val="32"/>
          <w:szCs w:val="32"/>
        </w:rPr>
      </w:pPr>
    </w:p>
    <w:p w14:paraId="0D6FFAF5">
      <w:pPr>
        <w:spacing w:line="480" w:lineRule="exact"/>
        <w:ind w:firstLine="640"/>
        <w:textAlignment w:val="baseline"/>
        <w:rPr>
          <w:rFonts w:hint="eastAsia" w:ascii="仿宋" w:hAnsi="仿宋" w:eastAsia="仿宋" w:cs="仿宋"/>
          <w:sz w:val="28"/>
          <w:szCs w:val="28"/>
          <w:u w:val="single"/>
          <w:lang w:eastAsia="zh-CN"/>
        </w:rPr>
      </w:pPr>
      <w:r>
        <w:rPr>
          <w:rFonts w:hint="eastAsia" w:ascii="仿宋" w:hAnsi="仿宋" w:eastAsia="仿宋" w:cs="仿宋"/>
          <w:sz w:val="28"/>
          <w:szCs w:val="28"/>
        </w:rPr>
        <w:t>甲方：</w:t>
      </w:r>
      <w:r>
        <w:rPr>
          <w:rFonts w:hint="eastAsia" w:ascii="仿宋" w:hAnsi="仿宋" w:eastAsia="仿宋" w:cs="仿宋"/>
          <w:bCs/>
          <w:sz w:val="28"/>
          <w:szCs w:val="28"/>
          <w:lang w:eastAsia="zh-CN"/>
        </w:rPr>
        <w:t>广州南沙科技投资有限公司</w:t>
      </w:r>
    </w:p>
    <w:p w14:paraId="1BFB4A0B">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 xml:space="preserve">乙方：         </w:t>
      </w:r>
    </w:p>
    <w:p w14:paraId="125454F3">
      <w:pPr>
        <w:spacing w:line="480" w:lineRule="exact"/>
        <w:ind w:firstLine="640"/>
        <w:textAlignment w:val="baseline"/>
        <w:rPr>
          <w:rFonts w:ascii="仿宋" w:hAnsi="仿宋" w:eastAsia="仿宋" w:cs="仿宋"/>
          <w:sz w:val="28"/>
          <w:szCs w:val="28"/>
        </w:rPr>
      </w:pPr>
    </w:p>
    <w:p w14:paraId="484BB6A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为规范物资、配件采购、基建工程和设备、工装项目承发包双方的业务往来，防止发生谋取不正当利益的各种违法违纪行为，保护双方当事人的合法权益，根据有关法律法规和廉政建设责任制规定，双方签订本协议书。</w:t>
      </w:r>
    </w:p>
    <w:p w14:paraId="1BAB36B5">
      <w:pPr>
        <w:widowControl/>
        <w:numPr>
          <w:ilvl w:val="0"/>
          <w:numId w:val="4"/>
        </w:numPr>
        <w:spacing w:line="480" w:lineRule="exact"/>
        <w:jc w:val="left"/>
        <w:textAlignment w:val="baseline"/>
        <w:rPr>
          <w:rFonts w:ascii="仿宋" w:hAnsi="仿宋" w:eastAsia="仿宋" w:cs="仿宋"/>
          <w:b/>
          <w:sz w:val="28"/>
          <w:szCs w:val="28"/>
        </w:rPr>
      </w:pPr>
      <w:r>
        <w:rPr>
          <w:rFonts w:hint="eastAsia" w:ascii="仿宋" w:hAnsi="仿宋" w:eastAsia="仿宋" w:cs="仿宋"/>
          <w:b/>
          <w:sz w:val="28"/>
          <w:szCs w:val="28"/>
        </w:rPr>
        <w:t>各方的责任</w:t>
      </w:r>
    </w:p>
    <w:p w14:paraId="125E71E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（一）严格遵守市场准入、项目招、投标等有关法律、法规、政策，以及廉政建设的各项规定。</w:t>
      </w:r>
    </w:p>
    <w:p w14:paraId="4C4494F1">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（二）严格执行承发包合同文件，自觉按合同办事。</w:t>
      </w:r>
    </w:p>
    <w:p w14:paraId="7E12BC36">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（三）业务活动坚持公开、公平、公正、诚信、透明原则，不得为获取不正当的利益损害双方利益，不得违反行业有关规定。</w:t>
      </w:r>
    </w:p>
    <w:p w14:paraId="2FCB5B94">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（四）发现对方在业务活动中有违规、违纪、违法行为，应及时提醒，得以制止、纠正；劝阻无效时，应向其监督部门或上级主管部门反映情况，予以纠正；情节严重的，应向纪检监察、司法机关举报。</w:t>
      </w:r>
    </w:p>
    <w:p w14:paraId="27850F43">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第二条  乙方的责任</w:t>
      </w:r>
    </w:p>
    <w:p w14:paraId="36A756A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应与甲方人员保持正常的业务交往，按照有关法律法规和程序开展业务工作，严格执行物资配件采购、工程建设、设备、工装采购的有关法规政策，并遵守以下规定：</w:t>
      </w:r>
    </w:p>
    <w:p w14:paraId="4CB4324A">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（一）不以任何理由向甲方、甲方代表、相关单位或个人赠送礼金、有价证券、贵重物品或回扣、好处费、感谢费等。</w:t>
      </w:r>
    </w:p>
    <w:p w14:paraId="37FA10C2">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（二）不以任何理由为甲方、甲方代表和相关单位报销应由对方或个人支付的费用。</w:t>
      </w:r>
    </w:p>
    <w:p w14:paraId="0F61AE15">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第三条  甲方的责任</w:t>
      </w:r>
    </w:p>
    <w:p w14:paraId="316019AC">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应与乙方人员保持正常的业务交往，按照有关法律法规和程序开展业务工作，严格执行物资配件采购、基建工程建设、设备、工装采购的有关法规政策，并遵守以下规定：</w:t>
      </w:r>
    </w:p>
    <w:p w14:paraId="4EC59E3F">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（一）不向乙方及相关单位索要或接受回扣、礼金、有价证劵、贵重物品和好处费、感谢费等。</w:t>
      </w:r>
    </w:p>
    <w:p w14:paraId="0E54AAA9">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（二）不在乙方及相关单位报销任何应由甲方或个人支付的费用。</w:t>
      </w:r>
    </w:p>
    <w:p w14:paraId="6123CBB7">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第四条  违约责任</w:t>
      </w:r>
    </w:p>
    <w:p w14:paraId="354B1FC5">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甲方工作人员有违反本责任书第一、三条行为的，按照管理权限，根据有关法律法规和规定给予党纪、政纪处分或组织处理；涉嫌犯罪的，移交司法机关处理；给乙方单位造成经济损失的，应予以赔偿或补偿。</w:t>
      </w:r>
    </w:p>
    <w:p w14:paraId="1E0E9ED0">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乙方工作人员有违反本责任书第一、二条行为的，按照管理权限，根据有关法律法规和规定给予党纪、政纪处分或组织处理；涉嫌犯罪的，移交司法机关处理；给甲方单位造成经济损失的，应予以赔偿或补偿。</w:t>
      </w:r>
    </w:p>
    <w:p w14:paraId="31EF47A9">
      <w:pPr>
        <w:spacing w:line="480" w:lineRule="exact"/>
        <w:ind w:firstLine="640"/>
        <w:textAlignment w:val="baseline"/>
        <w:rPr>
          <w:rFonts w:ascii="仿宋" w:hAnsi="仿宋" w:eastAsia="仿宋" w:cs="仿宋"/>
          <w:sz w:val="28"/>
          <w:szCs w:val="28"/>
        </w:rPr>
      </w:pPr>
      <w:r>
        <w:rPr>
          <w:rFonts w:hint="eastAsia" w:ascii="仿宋" w:hAnsi="仿宋" w:eastAsia="仿宋" w:cs="仿宋"/>
          <w:b/>
          <w:sz w:val="28"/>
          <w:szCs w:val="28"/>
        </w:rPr>
        <w:t>第五条</w:t>
      </w:r>
      <w:r>
        <w:rPr>
          <w:rFonts w:hint="eastAsia" w:ascii="仿宋" w:hAnsi="仿宋" w:eastAsia="仿宋" w:cs="仿宋"/>
          <w:sz w:val="28"/>
          <w:szCs w:val="28"/>
        </w:rPr>
        <w:t xml:space="preserve">  本协议书与项目合同具有同等法律效力，经各方签署后生效。</w:t>
      </w:r>
    </w:p>
    <w:p w14:paraId="439CFDC7">
      <w:pPr>
        <w:widowControl/>
        <w:numPr>
          <w:ilvl w:val="0"/>
          <w:numId w:val="5"/>
        </w:numPr>
        <w:spacing w:line="480" w:lineRule="exact"/>
        <w:jc w:val="left"/>
        <w:textAlignment w:val="baseline"/>
        <w:rPr>
          <w:rFonts w:ascii="仿宋" w:hAnsi="仿宋" w:eastAsia="仿宋" w:cs="仿宋"/>
          <w:sz w:val="28"/>
          <w:szCs w:val="28"/>
        </w:rPr>
      </w:pPr>
      <w:r>
        <w:rPr>
          <w:rFonts w:hint="eastAsia" w:ascii="仿宋" w:hAnsi="仿宋" w:eastAsia="仿宋" w:cs="仿宋"/>
          <w:sz w:val="28"/>
          <w:szCs w:val="28"/>
        </w:rPr>
        <w:t>本协议书的有效期为双方合作结束时止。</w:t>
      </w:r>
    </w:p>
    <w:p w14:paraId="78C09DE5">
      <w:pPr>
        <w:widowControl/>
        <w:numPr>
          <w:ilvl w:val="0"/>
          <w:numId w:val="5"/>
        </w:numPr>
        <w:spacing w:line="480" w:lineRule="exact"/>
        <w:jc w:val="left"/>
        <w:textAlignment w:val="baseline"/>
        <w:rPr>
          <w:rFonts w:ascii="仿宋" w:hAnsi="仿宋" w:eastAsia="仿宋" w:cs="仿宋"/>
          <w:sz w:val="28"/>
          <w:szCs w:val="28"/>
        </w:rPr>
      </w:pPr>
      <w:r>
        <w:rPr>
          <w:rFonts w:hint="eastAsia" w:ascii="仿宋" w:hAnsi="仿宋" w:eastAsia="仿宋" w:cs="仿宋"/>
          <w:bCs/>
          <w:sz w:val="28"/>
          <w:szCs w:val="28"/>
        </w:rPr>
        <w:t>本协议一式陆份，甲乙双方各执叁份</w:t>
      </w:r>
      <w:r>
        <w:rPr>
          <w:rFonts w:hint="eastAsia" w:ascii="仿宋" w:hAnsi="仿宋" w:eastAsia="仿宋" w:cs="仿宋"/>
          <w:sz w:val="28"/>
          <w:szCs w:val="28"/>
        </w:rPr>
        <w:t>。</w:t>
      </w:r>
    </w:p>
    <w:p w14:paraId="10765BE5">
      <w:pPr>
        <w:spacing w:line="480" w:lineRule="exact"/>
        <w:ind w:firstLine="640"/>
        <w:textAlignment w:val="baseline"/>
        <w:rPr>
          <w:rFonts w:ascii="仿宋" w:hAnsi="仿宋" w:eastAsia="仿宋" w:cs="仿宋"/>
          <w:sz w:val="28"/>
          <w:szCs w:val="28"/>
        </w:rPr>
      </w:pPr>
    </w:p>
    <w:p w14:paraId="27B023DA">
      <w:pPr>
        <w:widowControl/>
        <w:spacing w:after="90" w:line="345" w:lineRule="atLeast"/>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甲方：广州南沙</w:t>
      </w:r>
      <w:r>
        <w:rPr>
          <w:rFonts w:hint="eastAsia" w:ascii="仿宋" w:hAnsi="仿宋" w:eastAsia="仿宋" w:cs="仿宋"/>
          <w:kern w:val="0"/>
          <w:sz w:val="28"/>
          <w:szCs w:val="28"/>
          <w:lang w:val="en-US" w:eastAsia="zh-CN"/>
        </w:rPr>
        <w:t>湿地旅游发展</w:t>
      </w:r>
      <w:r>
        <w:rPr>
          <w:rFonts w:hint="eastAsia" w:ascii="仿宋" w:hAnsi="仿宋" w:eastAsia="仿宋" w:cs="仿宋"/>
          <w:kern w:val="0"/>
          <w:sz w:val="28"/>
          <w:szCs w:val="28"/>
        </w:rPr>
        <w:t xml:space="preserve">          乙方：</w:t>
      </w:r>
    </w:p>
    <w:p w14:paraId="2B5C3CDC">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有限公司（盖章）            </w:t>
      </w:r>
      <w:r>
        <w:rPr>
          <w:rFonts w:hint="eastAsia" w:ascii="仿宋" w:hAnsi="仿宋" w:eastAsia="仿宋" w:cs="仿宋"/>
          <w:sz w:val="28"/>
          <w:szCs w:val="28"/>
        </w:rPr>
        <w:t xml:space="preserve">         </w:t>
      </w:r>
      <w:r>
        <w:rPr>
          <w:rFonts w:hint="eastAsia" w:ascii="仿宋" w:hAnsi="仿宋" w:eastAsia="仿宋" w:cs="仿宋"/>
          <w:kern w:val="0"/>
          <w:sz w:val="28"/>
          <w:szCs w:val="28"/>
        </w:rPr>
        <w:t xml:space="preserve">（盖章）                                                  </w:t>
      </w:r>
    </w:p>
    <w:p w14:paraId="0C979586">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法人或委托代理人（签字）：       法人或委托代理人（签字）：  </w:t>
      </w:r>
    </w:p>
    <w:p w14:paraId="2E4FE1BD">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                   </w:t>
      </w:r>
    </w:p>
    <w:p w14:paraId="4993E202">
      <w:pPr>
        <w:widowControl/>
        <w:spacing w:line="360" w:lineRule="auto"/>
        <w:ind w:firstLine="280" w:firstLineChars="100"/>
        <w:jc w:val="left"/>
        <w:rPr>
          <w:rFonts w:ascii="仿宋" w:hAnsi="仿宋" w:eastAsia="仿宋" w:cs="仿宋"/>
          <w:sz w:val="28"/>
          <w:szCs w:val="28"/>
        </w:rPr>
      </w:pPr>
      <w:r>
        <w:rPr>
          <w:rFonts w:hint="eastAsia" w:ascii="仿宋" w:hAnsi="仿宋" w:eastAsia="仿宋" w:cs="仿宋"/>
          <w:kern w:val="0"/>
          <w:sz w:val="28"/>
          <w:szCs w:val="28"/>
        </w:rPr>
        <w:t>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  月 日               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 月  日</w:t>
      </w:r>
    </w:p>
    <w:p w14:paraId="4952321B">
      <w:pPr>
        <w:widowControl/>
        <w:jc w:val="center"/>
        <w:rPr>
          <w:rFonts w:ascii="仿宋" w:hAnsi="仿宋" w:eastAsia="仿宋" w:cs="仿宋"/>
          <w:bCs/>
          <w:sz w:val="28"/>
          <w:szCs w:val="28"/>
        </w:rPr>
      </w:pPr>
    </w:p>
    <w:p w14:paraId="7159054E">
      <w:pPr>
        <w:pStyle w:val="2"/>
        <w:rPr>
          <w:rFonts w:ascii="仿宋" w:hAnsi="仿宋" w:eastAsia="仿宋" w:cs="仿宋"/>
          <w:bCs/>
          <w:sz w:val="28"/>
          <w:szCs w:val="28"/>
        </w:rPr>
      </w:pPr>
    </w:p>
    <w:p w14:paraId="7F2D76D2">
      <w:pPr>
        <w:rPr>
          <w:rFonts w:ascii="仿宋" w:hAnsi="仿宋" w:eastAsia="仿宋" w:cs="仿宋"/>
          <w:bCs/>
          <w:sz w:val="28"/>
          <w:szCs w:val="28"/>
        </w:rPr>
      </w:pPr>
    </w:p>
    <w:p w14:paraId="0E344F4D"/>
    <w:p w14:paraId="07D2FDF0">
      <w:pPr>
        <w:pStyle w:val="2"/>
      </w:pPr>
    </w:p>
    <w:p w14:paraId="4464A62C">
      <w:pPr>
        <w:pStyle w:val="2"/>
      </w:pPr>
    </w:p>
    <w:p w14:paraId="6447B27C">
      <w:pPr>
        <w:spacing w:line="480" w:lineRule="auto"/>
        <w:rPr>
          <w:rFonts w:ascii="仿宋_GB2312" w:hAnsi="仿宋_GB2312" w:eastAsia="仿宋_GB2312" w:cs="仿宋_GB2312"/>
          <w:bCs/>
          <w:sz w:val="28"/>
          <w:szCs w:val="28"/>
        </w:rPr>
      </w:pPr>
      <w:r>
        <w:rPr>
          <w:rFonts w:hint="eastAsia" w:ascii="仿宋" w:hAnsi="仿宋" w:eastAsia="仿宋" w:cs="仿宋"/>
          <w:bCs/>
          <w:sz w:val="28"/>
          <w:szCs w:val="28"/>
        </w:rPr>
        <w:t>附</w:t>
      </w:r>
      <w:r>
        <w:rPr>
          <w:rFonts w:hint="eastAsia" w:ascii="仿宋_GB2312" w:hAnsi="仿宋_GB2312" w:eastAsia="仿宋_GB2312" w:cs="仿宋_GB2312"/>
          <w:sz w:val="28"/>
          <w:szCs w:val="28"/>
        </w:rPr>
        <w:t>件2</w:t>
      </w:r>
      <w:r>
        <w:rPr>
          <w:rFonts w:hint="eastAsia" w:ascii="仿宋_GB2312" w:hAnsi="仿宋_GB2312" w:eastAsia="仿宋_GB2312" w:cs="仿宋_GB2312"/>
          <w:bCs/>
          <w:sz w:val="28"/>
          <w:szCs w:val="28"/>
        </w:rPr>
        <w:t>房屋租赁安全生产管理协议</w:t>
      </w:r>
    </w:p>
    <w:p w14:paraId="2D972A58">
      <w:pPr>
        <w:spacing w:line="480" w:lineRule="auto"/>
        <w:jc w:val="center"/>
        <w:outlineLvl w:val="0"/>
        <w:rPr>
          <w:rFonts w:ascii="仿宋_GB2312" w:hAnsi="仿宋_GB2312" w:eastAsia="仿宋_GB2312" w:cs="仿宋_GB2312"/>
          <w:b/>
          <w:bCs/>
          <w:sz w:val="44"/>
          <w:szCs w:val="44"/>
        </w:rPr>
      </w:pPr>
    </w:p>
    <w:p w14:paraId="1B405002">
      <w:pPr>
        <w:spacing w:line="480" w:lineRule="auto"/>
        <w:jc w:val="center"/>
        <w:outlineLvl w:val="0"/>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物业租赁安全生产管理协议</w:t>
      </w:r>
    </w:p>
    <w:p w14:paraId="0D4A0EA2">
      <w:pPr>
        <w:pStyle w:val="2"/>
      </w:pPr>
    </w:p>
    <w:p w14:paraId="6D200F47">
      <w:pPr>
        <w:spacing w:line="560" w:lineRule="exact"/>
        <w:rPr>
          <w:rFonts w:ascii="仿宋" w:hAnsi="仿宋" w:eastAsia="仿宋" w:cs="仿宋"/>
          <w:sz w:val="28"/>
          <w:szCs w:val="28"/>
        </w:rPr>
      </w:pPr>
      <w:r>
        <w:rPr>
          <w:rFonts w:hint="eastAsia" w:ascii="仿宋" w:hAnsi="仿宋" w:eastAsia="仿宋" w:cs="仿宋"/>
          <w:sz w:val="28"/>
          <w:szCs w:val="28"/>
        </w:rPr>
        <w:t>甲方（出租方）：</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广州南沙科技投资有限公司</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14:paraId="01F6FA01">
      <w:pPr>
        <w:spacing w:line="560" w:lineRule="exact"/>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u w:val="single"/>
        </w:rPr>
        <w:t xml:space="preserve">    </w:t>
      </w:r>
      <w:r>
        <w:rPr>
          <w:rFonts w:hint="eastAsia" w:ascii="仿宋" w:hAnsi="仿宋" w:eastAsia="仿宋" w:cs="仿宋"/>
          <w:sz w:val="28"/>
          <w:szCs w:val="28"/>
          <w:u w:val="single"/>
        </w:rPr>
        <w:t>广州市南沙区海滨路171号1806室</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14:paraId="7AE1985B">
      <w:pPr>
        <w:spacing w:line="560" w:lineRule="exact"/>
        <w:rPr>
          <w:rFonts w:ascii="仿宋" w:hAnsi="仿宋" w:eastAsia="仿宋" w:cs="仿宋"/>
          <w:sz w:val="28"/>
          <w:szCs w:val="28"/>
          <w:u w:val="single"/>
        </w:rPr>
      </w:pPr>
      <w:r>
        <w:rPr>
          <w:rFonts w:hint="eastAsia" w:ascii="仿宋" w:hAnsi="仿宋" w:eastAsia="仿宋" w:cs="仿宋"/>
          <w:sz w:val="28"/>
          <w:szCs w:val="28"/>
        </w:rPr>
        <w:t>联系电话：</w:t>
      </w:r>
      <w:r>
        <w:rPr>
          <w:rFonts w:hint="eastAsia" w:ascii="仿宋" w:hAnsi="仿宋" w:eastAsia="仿宋" w:cs="仿宋"/>
          <w:sz w:val="28"/>
          <w:szCs w:val="28"/>
          <w:u w:val="single"/>
        </w:rPr>
        <w:t xml:space="preserve"> 13434104875   </w:t>
      </w:r>
    </w:p>
    <w:p w14:paraId="3B9ECA68">
      <w:pPr>
        <w:spacing w:before="156" w:beforeLines="50" w:line="560" w:lineRule="exact"/>
        <w:rPr>
          <w:rFonts w:ascii="仿宋" w:hAnsi="仿宋" w:eastAsia="仿宋" w:cs="仿宋"/>
          <w:sz w:val="28"/>
          <w:szCs w:val="28"/>
        </w:rPr>
      </w:pPr>
      <w:r>
        <w:rPr>
          <w:rFonts w:hint="eastAsia" w:ascii="仿宋" w:hAnsi="仿宋" w:eastAsia="仿宋" w:cs="仿宋"/>
          <w:sz w:val="28"/>
          <w:szCs w:val="28"/>
        </w:rPr>
        <w:t>乙方（承租方）：</w:t>
      </w:r>
    </w:p>
    <w:p w14:paraId="55C7BF30">
      <w:pPr>
        <w:spacing w:line="480" w:lineRule="exact"/>
        <w:ind w:left="1400" w:hanging="1400" w:hangingChars="500"/>
        <w:rPr>
          <w:rFonts w:ascii="仿宋" w:hAnsi="仿宋" w:eastAsia="仿宋" w:cs="仿宋"/>
          <w:sz w:val="28"/>
          <w:szCs w:val="28"/>
          <w:u w:val="single"/>
        </w:rPr>
      </w:pPr>
      <w:r>
        <w:rPr>
          <w:rFonts w:hint="eastAsia" w:ascii="仿宋" w:hAnsi="仿宋" w:eastAsia="仿宋" w:cs="仿宋"/>
          <w:sz w:val="28"/>
          <w:szCs w:val="28"/>
        </w:rPr>
        <w:t>地    址：</w:t>
      </w:r>
    </w:p>
    <w:p w14:paraId="6AFE723F">
      <w:pPr>
        <w:spacing w:line="560" w:lineRule="exact"/>
        <w:rPr>
          <w:rFonts w:ascii="仿宋" w:hAnsi="仿宋" w:eastAsia="仿宋" w:cs="仿宋"/>
          <w:color w:val="FF0000"/>
          <w:sz w:val="28"/>
          <w:szCs w:val="28"/>
          <w:u w:val="single"/>
        </w:rPr>
      </w:pPr>
      <w:r>
        <w:rPr>
          <w:rFonts w:hint="eastAsia" w:ascii="仿宋" w:hAnsi="仿宋" w:eastAsia="仿宋" w:cs="仿宋"/>
          <w:sz w:val="28"/>
          <w:szCs w:val="28"/>
        </w:rPr>
        <w:t>联系电话：</w:t>
      </w:r>
    </w:p>
    <w:p w14:paraId="3E71C49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本协议依据的法律法规如下：</w:t>
      </w:r>
    </w:p>
    <w:p w14:paraId="2D9079E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（一）《中华人民共和国安全生产法》；</w:t>
      </w:r>
    </w:p>
    <w:p w14:paraId="1AA1559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（二）《中华人民共和国消防法》；</w:t>
      </w:r>
    </w:p>
    <w:p w14:paraId="3A5DE81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（三）《中华人民共和国环境保护法》；</w:t>
      </w:r>
    </w:p>
    <w:p w14:paraId="3F9E5AF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（四）《中华人民共和国民法典》；</w:t>
      </w:r>
    </w:p>
    <w:p w14:paraId="39151CB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（五）《中华人民共和国食品安全法》；</w:t>
      </w:r>
    </w:p>
    <w:p w14:paraId="79FC320F">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（六）《广东省安全生产条例》；</w:t>
      </w:r>
    </w:p>
    <w:p w14:paraId="5B195A84">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（七）《广州市安全生产条例》；</w:t>
      </w:r>
    </w:p>
    <w:p w14:paraId="76B25789">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（八）其它相关法律法规、国家标准或行业标准，以及地方政府有关规定。</w:t>
      </w:r>
    </w:p>
    <w:p w14:paraId="32D51DF4">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按照上述法律、法规、标准及规定，根据双方租赁合同，为明确甲乙双方安全管理责任，经协商，签订本协议。</w:t>
      </w:r>
    </w:p>
    <w:p w14:paraId="34EAE4CB">
      <w:pPr>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第一条  协议适用范围</w:t>
      </w:r>
    </w:p>
    <w:p w14:paraId="325820B4">
      <w:pPr>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本协议适用范围为甲、乙双方于</w:t>
      </w:r>
      <w:r>
        <w:rPr>
          <w:rFonts w:hint="eastAsia" w:ascii="仿宋" w:hAnsi="仿宋" w:eastAsia="仿宋" w:cs="仿宋"/>
          <w:sz w:val="28"/>
          <w:szCs w:val="28"/>
          <w:highlight w:val="none"/>
        </w:rPr>
        <w:t>202</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年  月  日签订的《物</w:t>
      </w:r>
      <w:r>
        <w:rPr>
          <w:rFonts w:hint="eastAsia" w:ascii="仿宋" w:hAnsi="仿宋" w:eastAsia="仿宋" w:cs="仿宋"/>
          <w:sz w:val="28"/>
          <w:szCs w:val="28"/>
        </w:rPr>
        <w:t>业租赁合同》（以下简称：租赁合同）所约定的位于广州市南沙区珠江街道前锋社区一涌共计1</w:t>
      </w:r>
      <w:r>
        <w:rPr>
          <w:rFonts w:hint="eastAsia" w:ascii="仿宋" w:hAnsi="仿宋" w:eastAsia="仿宋" w:cs="仿宋"/>
          <w:sz w:val="28"/>
          <w:szCs w:val="28"/>
          <w:lang w:val="en-US" w:eastAsia="zh-CN"/>
        </w:rPr>
        <w:t>3</w:t>
      </w:r>
      <w:r>
        <w:rPr>
          <w:rFonts w:hint="eastAsia" w:ascii="仿宋" w:hAnsi="仿宋" w:eastAsia="仿宋" w:cs="仿宋"/>
          <w:sz w:val="28"/>
          <w:szCs w:val="28"/>
        </w:rPr>
        <w:t>宗物业，物业面积共计</w:t>
      </w:r>
      <w:r>
        <w:rPr>
          <w:rFonts w:hint="eastAsia" w:ascii="仿宋" w:hAnsi="仿宋" w:eastAsia="仿宋" w:cs="仿宋"/>
          <w:sz w:val="28"/>
          <w:szCs w:val="28"/>
          <w:lang w:eastAsia="zh-CN"/>
        </w:rPr>
        <w:t>1265.08</w:t>
      </w:r>
      <w:r>
        <w:rPr>
          <w:rFonts w:hint="eastAsia" w:ascii="仿宋" w:hAnsi="仿宋" w:eastAsia="仿宋" w:cs="仿宋"/>
          <w:sz w:val="28"/>
          <w:szCs w:val="28"/>
        </w:rPr>
        <w:t>㎡平方米。</w:t>
      </w:r>
    </w:p>
    <w:p w14:paraId="79EB74E0">
      <w:pPr>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第二条  协议期限</w:t>
      </w:r>
    </w:p>
    <w:p w14:paraId="58EFAD42">
      <w:pPr>
        <w:spacing w:line="60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本协议自</w:t>
      </w:r>
      <w:r>
        <w:rPr>
          <w:rFonts w:hint="eastAsia" w:ascii="仿宋" w:hAnsi="仿宋" w:eastAsia="仿宋" w:cs="仿宋"/>
          <w:sz w:val="28"/>
          <w:szCs w:val="28"/>
          <w:u w:val="single"/>
        </w:rPr>
        <w:t xml:space="preserve"> 202</w:t>
      </w:r>
      <w:r>
        <w:rPr>
          <w:rFonts w:hint="eastAsia" w:ascii="仿宋" w:hAnsi="仿宋" w:eastAsia="仿宋" w:cs="仿宋"/>
          <w:sz w:val="28"/>
          <w:szCs w:val="28"/>
          <w:u w:val="single"/>
          <w:lang w:val="en-US" w:eastAsia="zh-CN"/>
        </w:rPr>
        <w:t>6</w:t>
      </w:r>
      <w:r>
        <w:rPr>
          <w:rFonts w:hint="eastAsia" w:ascii="仿宋" w:hAnsi="仿宋" w:eastAsia="仿宋" w:cs="仿宋"/>
          <w:sz w:val="28"/>
          <w:szCs w:val="28"/>
        </w:rPr>
        <w:t>年</w:t>
      </w:r>
      <w:r>
        <w:rPr>
          <w:rFonts w:hint="eastAsia" w:ascii="仿宋" w:hAnsi="仿宋" w:eastAsia="仿宋" w:cs="仿宋"/>
          <w:sz w:val="28"/>
          <w:szCs w:val="28"/>
          <w:u w:val="single"/>
        </w:rPr>
        <w:t xml:space="preserve"> 11</w:t>
      </w:r>
      <w:r>
        <w:rPr>
          <w:rFonts w:hint="eastAsia" w:ascii="仿宋" w:hAnsi="仿宋" w:eastAsia="仿宋" w:cs="仿宋"/>
          <w:sz w:val="28"/>
          <w:szCs w:val="28"/>
        </w:rPr>
        <w:t>月</w:t>
      </w:r>
      <w:r>
        <w:rPr>
          <w:rFonts w:hint="eastAsia" w:ascii="仿宋" w:hAnsi="仿宋" w:eastAsia="仿宋" w:cs="仿宋"/>
          <w:sz w:val="28"/>
          <w:szCs w:val="28"/>
          <w:u w:val="single"/>
        </w:rPr>
        <w:t>1</w:t>
      </w:r>
      <w:r>
        <w:rPr>
          <w:rFonts w:hint="eastAsia" w:ascii="仿宋" w:hAnsi="仿宋" w:eastAsia="仿宋" w:cs="仿宋"/>
          <w:sz w:val="28"/>
          <w:szCs w:val="28"/>
        </w:rPr>
        <w:t>日起至</w:t>
      </w:r>
      <w:r>
        <w:rPr>
          <w:rFonts w:hint="eastAsia" w:ascii="仿宋" w:hAnsi="仿宋" w:eastAsia="仿宋" w:cs="仿宋"/>
          <w:sz w:val="28"/>
          <w:szCs w:val="28"/>
          <w:u w:val="single"/>
        </w:rPr>
        <w:t xml:space="preserve"> 202</w:t>
      </w:r>
      <w:r>
        <w:rPr>
          <w:rFonts w:hint="eastAsia" w:ascii="仿宋" w:hAnsi="仿宋" w:eastAsia="仿宋" w:cs="仿宋"/>
          <w:sz w:val="28"/>
          <w:szCs w:val="28"/>
          <w:u w:val="single"/>
          <w:lang w:val="en-US" w:eastAsia="zh-CN"/>
        </w:rPr>
        <w:t>7</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4</w:t>
      </w:r>
      <w:r>
        <w:rPr>
          <w:rFonts w:hint="eastAsia" w:ascii="仿宋" w:hAnsi="仿宋" w:eastAsia="仿宋" w:cs="仿宋"/>
          <w:sz w:val="28"/>
          <w:szCs w:val="28"/>
        </w:rPr>
        <w:t>月</w:t>
      </w:r>
      <w:r>
        <w:rPr>
          <w:rFonts w:hint="eastAsia" w:ascii="仿宋" w:hAnsi="仿宋" w:eastAsia="仿宋" w:cs="仿宋"/>
          <w:sz w:val="28"/>
          <w:szCs w:val="28"/>
          <w:u w:val="single"/>
        </w:rPr>
        <w:t>31</w:t>
      </w:r>
      <w:r>
        <w:rPr>
          <w:rFonts w:hint="eastAsia" w:ascii="仿宋" w:hAnsi="仿宋" w:eastAsia="仿宋" w:cs="仿宋"/>
          <w:sz w:val="28"/>
          <w:szCs w:val="28"/>
        </w:rPr>
        <w:t>日止。</w:t>
      </w:r>
    </w:p>
    <w:p w14:paraId="7DD6AECA">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第三条  租赁限制条件</w:t>
      </w:r>
    </w:p>
    <w:p w14:paraId="2FFC7837">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（一）甲方以物业现状作为出租和交付的条件，乙方完全接受且不存在任何异议。</w:t>
      </w:r>
    </w:p>
    <w:p w14:paraId="039CA12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（二）乙方进场前应确认其具备从事租赁合同约定租赁用途安全生产基本条件，不具备安全生产条件或相应资质的应于承租后5个工作日内，向提交甲方具备生产条件的相关材料，以备甲方查验并备案。</w:t>
      </w:r>
    </w:p>
    <w:p w14:paraId="2ADE764F">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第四条  乙方安全生产责任人</w:t>
      </w:r>
    </w:p>
    <w:p w14:paraId="336D903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乙方安全生产第一责任人为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，手机</w:t>
      </w:r>
      <w:r>
        <w:rPr>
          <w:rFonts w:hint="eastAsia" w:ascii="仿宋" w:hAnsi="仿宋" w:eastAsia="仿宋" w:cs="仿宋"/>
          <w:color w:val="FF0000"/>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color w:val="FF0000"/>
          <w:sz w:val="28"/>
          <w:szCs w:val="28"/>
          <w:u w:val="single"/>
        </w:rPr>
        <w:t xml:space="preserve"> </w:t>
      </w:r>
      <w:r>
        <w:rPr>
          <w:rFonts w:hint="eastAsia" w:ascii="仿宋" w:hAnsi="仿宋" w:eastAsia="仿宋" w:cs="仿宋"/>
          <w:sz w:val="28"/>
          <w:szCs w:val="28"/>
        </w:rPr>
        <w:t>。乙方上述安全生产责任人如有调整，应于5个工作日内以书面形式告知甲方。</w:t>
      </w:r>
    </w:p>
    <w:p w14:paraId="0D4152F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第五条  甲方的权利</w:t>
      </w:r>
    </w:p>
    <w:p w14:paraId="1E1872D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（一）有权进入乙方租赁场所检查安全生产工作，调阅安全生产相关资料，向乙方内设部门和人员了解相关情况。</w:t>
      </w:r>
    </w:p>
    <w:p w14:paraId="2AF9B8C2">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乙方如存在安全隐患、违章作业、冒险作业等安全生产违法行为，甲方有权要求乙方当场纠正或者限期整改；在乙方排除安全隐患或者纠正违法行为过程中，甲方认为无法保证安全的，有权要求乙方从危险区域内撤出作业人员，或者责成乙方暂时停止使用。</w:t>
      </w:r>
    </w:p>
    <w:p w14:paraId="4931B57B">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（三）乙方于使用过程中应当防止、减少环境污染和生态破坏，乙方如存在破坏、污染环境的违法行为的，甲方有权要求乙方限期改正，或责成乙方暂时停止使用。</w:t>
      </w:r>
    </w:p>
    <w:p w14:paraId="130C02B5">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按照（二）、（三），乙方在无正当的理由情况下不能按甲方要求完成整改，或存在严重安全隐患违章使用、冒险作业等安全生产违法行为及存在破坏、污染环境等违法行为的，拒不整改的，为防止发生安全及环境破坏事故，或者已经发生事故为避免产生进一步危害，甲方有权采取以下措施，因此所引起的一切后果均由乙方承担。</w:t>
      </w:r>
    </w:p>
    <w:p w14:paraId="4ED0971F">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1、向当地公安、消防、安监、市监、环保、街道办等政府主管部门举报；</w:t>
      </w:r>
    </w:p>
    <w:p w14:paraId="3342510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2、对乙方承租物业采取停水、停电等措施以强制停止乙方危险使用物业的活动；</w:t>
      </w:r>
    </w:p>
    <w:p w14:paraId="122B98C5">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3、单方终止物业租赁合同,并没收乙方交付的租赁</w:t>
      </w:r>
      <w:r>
        <w:rPr>
          <w:rFonts w:hint="eastAsia" w:ascii="仿宋" w:hAnsi="仿宋" w:eastAsia="仿宋" w:cs="仿宋"/>
          <w:sz w:val="28"/>
          <w:szCs w:val="28"/>
          <w:lang w:eastAsia="zh-CN"/>
        </w:rPr>
        <w:t>合同押金</w:t>
      </w:r>
      <w:r>
        <w:rPr>
          <w:rFonts w:hint="eastAsia" w:ascii="仿宋" w:hAnsi="仿宋" w:eastAsia="仿宋" w:cs="仿宋"/>
          <w:sz w:val="28"/>
          <w:szCs w:val="28"/>
        </w:rPr>
        <w:t>。</w:t>
      </w:r>
    </w:p>
    <w:p w14:paraId="2D907085">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第六条  乙方的权利</w:t>
      </w:r>
    </w:p>
    <w:p w14:paraId="1939659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有权依法自主进行安全生产管理工作。</w:t>
      </w:r>
    </w:p>
    <w:p w14:paraId="49FA884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第七条  甲方的责任与义务</w:t>
      </w:r>
    </w:p>
    <w:p w14:paraId="2B4AD76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（一）自有或代管的同一出租物业内有多个承租人的，按照《中华人民共和国安全生产法》有关规定，对乙方及相关方安全生产工作进行统一协调管理，</w:t>
      </w:r>
      <w:r>
        <w:rPr>
          <w:rFonts w:hint="eastAsia" w:ascii="仿宋" w:hAnsi="仿宋" w:eastAsia="仿宋" w:cs="仿宋"/>
          <w:kern w:val="0"/>
          <w:sz w:val="28"/>
          <w:szCs w:val="28"/>
        </w:rPr>
        <w:t>定期进行安全检查，发现安全问题的，应当及时督促整改</w:t>
      </w:r>
      <w:r>
        <w:rPr>
          <w:rFonts w:hint="eastAsia" w:ascii="仿宋" w:hAnsi="仿宋" w:eastAsia="仿宋" w:cs="仿宋"/>
          <w:b/>
          <w:sz w:val="28"/>
          <w:szCs w:val="28"/>
        </w:rPr>
        <w:t>。</w:t>
      </w:r>
    </w:p>
    <w:p w14:paraId="71362218">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（二）在安全检查中发现的问题及整改意见，或当地公安、消防、安监、市监、环保、街道办等政府主管部门有关安全生产的要求，及时以书面形式通知乙方，督促乙方实施整改。</w:t>
      </w:r>
    </w:p>
    <w:p w14:paraId="44C6DBD8">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（三）甲方人员进入现场必须遵守乙方现场安全管理规定，配合乙方安全管理人员的工作。</w:t>
      </w:r>
    </w:p>
    <w:p w14:paraId="1BECC15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（四）甲方不得对乙方提出不符合安全生产法律、法规和强制性标准规定的要求，不得要求乙方在不具备安全生产条件下强行生产。</w:t>
      </w:r>
    </w:p>
    <w:p w14:paraId="64C0FDB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第八条  乙方的责任与义务</w:t>
      </w:r>
    </w:p>
    <w:p w14:paraId="5AD245A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（一）乙方对承租物业的安全生产工作承担下列责任和义务：</w:t>
      </w:r>
    </w:p>
    <w:p w14:paraId="4FC6C7EC">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1.应识别所从事业务所有适用的安全生产法律法规、标准规范，连同生产作业环节存在的安全、消防、环保风险及控制措施以书面文件的形式具实向甲方告知备案。</w:t>
      </w:r>
    </w:p>
    <w:p w14:paraId="17F081A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2.应在国家安全生产和相关法律法规和条例规章规范的范围内从事生产经营活动，并具备国家有关法律法规、国家标准或者行业标准以及地方政府规定的安全生产条件和相应资质；</w:t>
      </w:r>
    </w:p>
    <w:p w14:paraId="00AB94A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3.应按照国家相关法律法规、国家标准或者行业标准以及地方政府有关规定做好安全管理工作，根据生产经营的实际情况，制定安全管理制度和建立安全责任制；</w:t>
      </w:r>
    </w:p>
    <w:p w14:paraId="5171A29A">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4.督促、检查安全生产工作，及时消除安全生产事故隐患，防止各类事故发生；</w:t>
      </w:r>
    </w:p>
    <w:p w14:paraId="0F77DE0B">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5.组织制定安全生产事故应急救援预案并定期组织演练；</w:t>
      </w:r>
    </w:p>
    <w:p w14:paraId="048E00C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6.加强对从业人员的安全生产教育、培训和宣传，增强员工的法制观念，提高员工的安全生产意识和自我保护的能力，督促员工自觉遵守安全制度和安全操作规程；员工应当持证上岗工作。</w:t>
      </w:r>
    </w:p>
    <w:p w14:paraId="56BF746E">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7.自觉接受甲方和政府有关职能部门的安全生产监督管理，积极配合政府相关部门和甲方的安全生产检查，不得以任何理由拒绝、阻挠,并按有关要求认真完成整改工作；</w:t>
      </w:r>
    </w:p>
    <w:p w14:paraId="09E28006">
      <w:pPr>
        <w:spacing w:line="600" w:lineRule="exact"/>
        <w:ind w:firstLine="560" w:firstLineChars="200"/>
        <w:rPr>
          <w:rFonts w:ascii="仿宋" w:hAnsi="仿宋" w:eastAsia="仿宋" w:cs="仿宋"/>
          <w:kern w:val="0"/>
          <w:sz w:val="28"/>
          <w:szCs w:val="28"/>
        </w:rPr>
      </w:pPr>
      <w:r>
        <w:rPr>
          <w:rFonts w:hint="eastAsia" w:ascii="仿宋" w:hAnsi="仿宋" w:eastAsia="仿宋" w:cs="仿宋"/>
          <w:sz w:val="28"/>
          <w:szCs w:val="28"/>
        </w:rPr>
        <w:t>8.向从业人员如实告知作业场所和工作岗位存在的危险因素、可能产生的职业病危害及其后果，提供必备的、合格的个人劳动防护用品。</w:t>
      </w:r>
      <w:r>
        <w:rPr>
          <w:rFonts w:hint="eastAsia" w:ascii="仿宋" w:hAnsi="仿宋" w:eastAsia="仿宋" w:cs="仿宋"/>
          <w:kern w:val="0"/>
          <w:sz w:val="28"/>
          <w:szCs w:val="28"/>
        </w:rPr>
        <w:t xml:space="preserve"> </w:t>
      </w:r>
    </w:p>
    <w:p w14:paraId="5156146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9.</w:t>
      </w:r>
      <w:r>
        <w:rPr>
          <w:rFonts w:hint="eastAsia" w:ascii="仿宋" w:hAnsi="仿宋" w:eastAsia="仿宋" w:cs="仿宋"/>
          <w:kern w:val="0"/>
          <w:sz w:val="28"/>
          <w:szCs w:val="28"/>
        </w:rPr>
        <w:t>应</w:t>
      </w:r>
      <w:r>
        <w:rPr>
          <w:rFonts w:hint="eastAsia" w:ascii="仿宋" w:hAnsi="仿宋" w:eastAsia="仿宋" w:cs="仿宋"/>
          <w:sz w:val="28"/>
          <w:szCs w:val="28"/>
        </w:rPr>
        <w:t>按照国家法律法规及地方政府有关规定，及时、如实向甲方和政府相关职能部门提供有关安全生产数据、资料，报告安全事故情况</w:t>
      </w:r>
      <w:r>
        <w:rPr>
          <w:rFonts w:hint="eastAsia" w:ascii="仿宋" w:hAnsi="仿宋" w:eastAsia="仿宋" w:cs="仿宋"/>
          <w:spacing w:val="-2"/>
          <w:sz w:val="28"/>
          <w:szCs w:val="28"/>
        </w:rPr>
        <w:t>。</w:t>
      </w:r>
    </w:p>
    <w:p w14:paraId="6E59DCC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10.乙方应当保证安全生产所必需的资金投入，用于购置安全设施、消除安全隐患、治理有害作业环境、配备劳动防护用品、进行安全生产培训等方面用途，并对因安全生产资金投入不足导致的后果承担全部法律和经济责任。</w:t>
      </w:r>
    </w:p>
    <w:p w14:paraId="0876C57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11.乙方对承租物业进行转租的应向甲方提出书面申请并经得同意的情况下，再与次承租人签订安全生产管理协议，落实各自的安全生产责任，并保证本协议乙方的义务与责任同样适用于次承租人。乙方将有关与次租人签订的安全生产管理协议在签订后5个工作日内送交甲方备案。</w:t>
      </w:r>
    </w:p>
    <w:p w14:paraId="4F810DC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12.乙方开展的经营活动按照有关规定应取得消防、环保验收或备案等手续的，乙方必须在（试）营业、使用前取得相应批文。</w:t>
      </w:r>
    </w:p>
    <w:p w14:paraId="24F9D4E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13.乙方对承租物业进行改造（改建或扩建）、装修、修缮的,按有关规定须取得规划、建设、施工、消防等批文的，乙方应在施工前取得相应批文；乙方应确保工程符合国家建筑安全法律法规和行业标准，不得损害建筑主体结构安全，建筑构件、建筑材料和室内装修、装饰材料的防火性能必须符合国家和行业标准;按照有关规定应取得消防验收或备案手续的，乙方必须在（试）营业、使用前取得相应批文。</w:t>
      </w:r>
    </w:p>
    <w:p w14:paraId="1F6933FA">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14.乙方在承租物业内进行临时搭建工程的，须经甲方同意，并保证不得占用物业防火间距、消防通道,不得设置影响消防扑救或遮挡排烟窗（口）的架空管线、广告牌等障碍物。</w:t>
      </w:r>
    </w:p>
    <w:p w14:paraId="21FBCF0B">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 xml:space="preserve">15.临时占用、挖掘承租物业内道路、场地的，应在约定期限内恢复原状，并对施工过程、现场防护、材料堆放等安全生产工作承担全部管理责任；因维修物业或者公共利益，甲方需临时占用、挖掘乙方承租区域道路、场地的，乙方应无条件配合。 </w:t>
      </w:r>
    </w:p>
    <w:p w14:paraId="5442AEF0">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16.乙方生产作业涉及特种设备的，应取得相应的合格证书后，方可投入生产经营，并按特种设备使用有关规定，进行日常检测、维修、保养。</w:t>
      </w:r>
    </w:p>
    <w:p w14:paraId="1D3E1424">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17．乙方应做好安全用电、防汛防台、防中毒、防盗窃等工作。保持用电设施的完好，严禁乱接乱拉电线。根据要求配备和维持好灭火器材，确保消防安全通道畅通。</w:t>
      </w:r>
    </w:p>
    <w:p w14:paraId="71977295">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18.乙方对经评价确认的重大危险源或重大安全隐患，应按有关规定报告市、区安全监管部门，并告知甲方。</w:t>
      </w:r>
    </w:p>
    <w:p w14:paraId="5A139F3C">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19.为保障用电安全，防止电气事故及大面积停电造成甲方及第三方停产、停业损失，乙方应在所租赁场所入户总配电箱设置必要的过载保护、漏电保护等防护设施。</w:t>
      </w:r>
    </w:p>
    <w:p w14:paraId="3DD0AA39">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20.乙方用电负荷不得超出现有供配电线路的承载能力，如有工艺、设备变更造成用电负荷增大，乙方应在变更实施30日前告知甲方。</w:t>
      </w:r>
    </w:p>
    <w:p w14:paraId="091F15FE">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21.乙方进行高空、有限空间、动火等高风险作业，以及其他可能危及甲方及第三方财产和人身安全的危险作业时，应采取有效的安全措施，办理作业票据，对相关人员进行风险告知，加强作业现场监护与警戒，确保过程安全。</w:t>
      </w:r>
    </w:p>
    <w:p w14:paraId="089B571E">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22.乙方应自行配置、维护和保养所承租区域内的消防设施（消火栓、灭火器、自动报警装置、自动灭火装置等消防设施）。</w:t>
      </w:r>
    </w:p>
    <w:p w14:paraId="4A69C2F5">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23.乙方应无条件落实甲方承接自政府有关部门的安全生产工作要求，自行完成或配合甲方完成有关安全生产专项工作。</w:t>
      </w:r>
    </w:p>
    <w:p w14:paraId="56691F86">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24.乙方应积极配合甲方组织的应急演练，乙方应积极参加甲方组织的应急救援行动。</w:t>
      </w:r>
    </w:p>
    <w:p w14:paraId="19EB2E73">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sz w:val="28"/>
          <w:szCs w:val="28"/>
        </w:rPr>
        <w:t>25.法律法规规定的其他义务。</w:t>
      </w:r>
    </w:p>
    <w:p w14:paraId="6E61B24A">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kern w:val="0"/>
          <w:sz w:val="28"/>
          <w:szCs w:val="28"/>
        </w:rPr>
        <w:t>（二）乙方在承租物业期间，</w:t>
      </w:r>
      <w:r>
        <w:rPr>
          <w:rFonts w:hint="eastAsia" w:ascii="仿宋" w:hAnsi="仿宋" w:eastAsia="仿宋" w:cs="仿宋"/>
          <w:sz w:val="28"/>
          <w:szCs w:val="28"/>
        </w:rPr>
        <w:t>不得有下列违反安全生产要求的情况：</w:t>
      </w:r>
    </w:p>
    <w:p w14:paraId="3501A9C9">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kern w:val="0"/>
          <w:sz w:val="28"/>
          <w:szCs w:val="28"/>
        </w:rPr>
        <w:t>1、将</w:t>
      </w:r>
      <w:r>
        <w:rPr>
          <w:rFonts w:hint="eastAsia" w:ascii="仿宋" w:hAnsi="仿宋" w:eastAsia="仿宋" w:cs="仿宋"/>
          <w:sz w:val="28"/>
          <w:szCs w:val="28"/>
        </w:rPr>
        <w:t>经营作业场所、仓库与员工宿舍安排在同一租赁物业内，且安全距离不足，存在“二合一”或“三合一”现象；</w:t>
      </w:r>
    </w:p>
    <w:p w14:paraId="1BDB42E3">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2、在物业内放置超过设计荷载的物品或者进行其他影响物业结构安全的活动；</w:t>
      </w:r>
    </w:p>
    <w:p w14:paraId="45A1C12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3、不按规定设置应急照明装置和安全出口标志，封闭、堵塞物业安全出口；</w:t>
      </w:r>
    </w:p>
    <w:p w14:paraId="697BC1F8">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4、不按规定健全完善物业消防设施设备以及维护其正常使用，未配备足够的消防器材；</w:t>
      </w:r>
    </w:p>
    <w:p w14:paraId="4BCD27E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5、不按规定健全完善物业电气设施设备以及维护其正常使用，超负荷使用大功率电器、使用直排式热水器；</w:t>
      </w:r>
    </w:p>
    <w:p w14:paraId="18809679">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6、违法违规在物业内生产、储存、使用、经营危险化学品；</w:t>
      </w:r>
    </w:p>
    <w:p w14:paraId="1819535C">
      <w:pPr>
        <w:spacing w:line="600" w:lineRule="exact"/>
        <w:ind w:firstLine="560" w:firstLineChars="200"/>
        <w:rPr>
          <w:rFonts w:ascii="仿宋" w:hAnsi="仿宋" w:eastAsia="仿宋" w:cs="仿宋"/>
          <w:kern w:val="0"/>
          <w:sz w:val="28"/>
          <w:szCs w:val="28"/>
        </w:rPr>
      </w:pPr>
      <w:r>
        <w:rPr>
          <w:rFonts w:hint="eastAsia" w:ascii="仿宋" w:hAnsi="仿宋" w:eastAsia="仿宋" w:cs="仿宋"/>
          <w:sz w:val="28"/>
          <w:szCs w:val="28"/>
        </w:rPr>
        <w:t>7、违法违规进行</w:t>
      </w:r>
      <w:r>
        <w:rPr>
          <w:rFonts w:hint="eastAsia" w:ascii="仿宋" w:hAnsi="仿宋" w:eastAsia="仿宋" w:cs="仿宋"/>
          <w:kern w:val="0"/>
          <w:sz w:val="28"/>
          <w:szCs w:val="28"/>
        </w:rPr>
        <w:t>废水、废气、废渣等废弃物的处理和排放；</w:t>
      </w:r>
    </w:p>
    <w:p w14:paraId="1E9FBB21">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8、安装、使用无生产合格证或者未经有关部门检验检测的特种设备；安排未经安全生产教育、培训并取得相应资格证书的从业人员进行特种作业；</w:t>
      </w:r>
    </w:p>
    <w:p w14:paraId="70DA9822">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9、违反安全生产法律法规的其它行为。</w:t>
      </w:r>
    </w:p>
    <w:p w14:paraId="0D0B4492">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（三）事故事件责任</w:t>
      </w:r>
    </w:p>
    <w:p w14:paraId="04523E07">
      <w:pPr>
        <w:spacing w:line="600" w:lineRule="exact"/>
        <w:ind w:firstLine="560" w:firstLineChars="200"/>
        <w:rPr>
          <w:rFonts w:ascii="仿宋" w:hAnsi="仿宋" w:eastAsia="仿宋" w:cs="仿宋"/>
          <w:sz w:val="28"/>
          <w:szCs w:val="28"/>
        </w:rPr>
      </w:pPr>
      <w:r>
        <w:rPr>
          <w:rFonts w:hint="eastAsia" w:ascii="仿宋" w:hAnsi="仿宋" w:eastAsia="仿宋" w:cs="仿宋"/>
          <w:kern w:val="0"/>
          <w:sz w:val="28"/>
          <w:szCs w:val="28"/>
        </w:rPr>
        <w:t xml:space="preserve">1. 乙方对所承租场所内的安全生产工作承担主体责任，应加强属地管理，对所承租场所内的生产安全事故负有责任的，应依法承担赔偿责任。 </w:t>
      </w:r>
    </w:p>
    <w:p w14:paraId="622253BB">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2.因乙方原因造成甲方或第三方人员人身伤害或财产损失的，乙方应承担全部责任。</w:t>
      </w:r>
    </w:p>
    <w:p w14:paraId="59F307D2">
      <w:pPr>
        <w:spacing w:line="600" w:lineRule="exact"/>
        <w:ind w:firstLine="560" w:firstLineChars="200"/>
        <w:rPr>
          <w:rFonts w:ascii="仿宋" w:hAnsi="仿宋" w:eastAsia="仿宋" w:cs="仿宋"/>
          <w:kern w:val="0"/>
          <w:sz w:val="28"/>
          <w:szCs w:val="28"/>
          <w:u w:val="single"/>
        </w:rPr>
      </w:pPr>
      <w:r>
        <w:rPr>
          <w:rFonts w:hint="eastAsia" w:ascii="仿宋" w:hAnsi="仿宋" w:eastAsia="仿宋" w:cs="仿宋"/>
          <w:kern w:val="0"/>
          <w:sz w:val="28"/>
          <w:szCs w:val="28"/>
        </w:rPr>
        <w:t>3.乙方应规范自身员工的管理，加强公共安全教育，如有乙方员工在甲方</w:t>
      </w:r>
      <w:r>
        <w:rPr>
          <w:rFonts w:hint="eastAsia" w:ascii="仿宋" w:hAnsi="仿宋" w:eastAsia="仿宋" w:cs="仿宋"/>
          <w:kern w:val="0"/>
          <w:sz w:val="28"/>
          <w:szCs w:val="28"/>
          <w:u w:val="single"/>
        </w:rPr>
        <w:t>物业内</w:t>
      </w:r>
      <w:r>
        <w:rPr>
          <w:rFonts w:hint="eastAsia" w:ascii="仿宋" w:hAnsi="仿宋" w:eastAsia="仿宋" w:cs="仿宋"/>
          <w:kern w:val="0"/>
          <w:sz w:val="28"/>
          <w:szCs w:val="28"/>
        </w:rPr>
        <w:t>破坏公物、妨碍公共安全、交通肇事，乙方应承担连带责任。</w:t>
      </w:r>
    </w:p>
    <w:p w14:paraId="5B7FE9CA">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4.如因乙方原因，造成甲方或第三方停产、停业，电器、设备和装修损毁等情况，乙方应赔偿全部损失，甲方有权扣罚乙方的租赁</w:t>
      </w:r>
      <w:r>
        <w:rPr>
          <w:rFonts w:hint="eastAsia" w:ascii="仿宋" w:hAnsi="仿宋" w:eastAsia="仿宋" w:cs="仿宋"/>
          <w:kern w:val="0"/>
          <w:sz w:val="28"/>
          <w:szCs w:val="28"/>
          <w:lang w:eastAsia="zh-CN"/>
        </w:rPr>
        <w:t>合同押金</w:t>
      </w:r>
      <w:r>
        <w:rPr>
          <w:rFonts w:hint="eastAsia" w:ascii="仿宋" w:hAnsi="仿宋" w:eastAsia="仿宋" w:cs="仿宋"/>
          <w:kern w:val="0"/>
          <w:sz w:val="28"/>
          <w:szCs w:val="28"/>
        </w:rPr>
        <w:t>。</w:t>
      </w:r>
    </w:p>
    <w:p w14:paraId="5538D6CE">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第九条  现场危险源及逃生路线</w:t>
      </w:r>
    </w:p>
    <w:p w14:paraId="0095704F">
      <w:pPr>
        <w:pStyle w:val="9"/>
        <w:spacing w:line="600" w:lineRule="exact"/>
        <w:ind w:left="0" w:leftChars="0"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一、现场危险源</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
        <w:gridCol w:w="2725"/>
        <w:gridCol w:w="3159"/>
        <w:gridCol w:w="2327"/>
      </w:tblGrid>
      <w:tr w14:paraId="53A7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00024784">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序号</w:t>
            </w:r>
          </w:p>
        </w:tc>
        <w:tc>
          <w:tcPr>
            <w:tcW w:w="2725" w:type="dxa"/>
            <w:vAlign w:val="center"/>
          </w:tcPr>
          <w:p w14:paraId="727E4AFF">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风险点、危险源名称</w:t>
            </w:r>
          </w:p>
        </w:tc>
        <w:tc>
          <w:tcPr>
            <w:tcW w:w="3159" w:type="dxa"/>
            <w:vAlign w:val="center"/>
          </w:tcPr>
          <w:p w14:paraId="72101F3E">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存在的危险源类别</w:t>
            </w:r>
          </w:p>
        </w:tc>
        <w:tc>
          <w:tcPr>
            <w:tcW w:w="2327" w:type="dxa"/>
            <w:vAlign w:val="center"/>
          </w:tcPr>
          <w:p w14:paraId="6F8B7226">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风险位置</w:t>
            </w:r>
          </w:p>
        </w:tc>
      </w:tr>
      <w:tr w14:paraId="2E6F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4C99CE18">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1</w:t>
            </w:r>
          </w:p>
        </w:tc>
        <w:tc>
          <w:tcPr>
            <w:tcW w:w="2725" w:type="dxa"/>
            <w:vMerge w:val="restart"/>
            <w:vAlign w:val="center"/>
          </w:tcPr>
          <w:p w14:paraId="43844F60">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极端天气物业防台风、防洪水、防雷。使用过程中，防火防触电。</w:t>
            </w:r>
          </w:p>
        </w:tc>
        <w:tc>
          <w:tcPr>
            <w:tcW w:w="3159" w:type="dxa"/>
            <w:vAlign w:val="center"/>
          </w:tcPr>
          <w:p w14:paraId="45E5FBDA">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防台风、防洪水</w:t>
            </w:r>
          </w:p>
        </w:tc>
        <w:tc>
          <w:tcPr>
            <w:tcW w:w="2327" w:type="dxa"/>
            <w:vMerge w:val="restart"/>
            <w:vAlign w:val="center"/>
          </w:tcPr>
          <w:p w14:paraId="22FBBC34">
            <w:pPr>
              <w:pStyle w:val="9"/>
              <w:spacing w:line="4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南沙新中一街47号往东300米。</w:t>
            </w:r>
          </w:p>
        </w:tc>
      </w:tr>
      <w:tr w14:paraId="3531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1511A307">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2</w:t>
            </w:r>
          </w:p>
        </w:tc>
        <w:tc>
          <w:tcPr>
            <w:tcW w:w="2725" w:type="dxa"/>
            <w:vMerge w:val="continue"/>
            <w:vAlign w:val="center"/>
          </w:tcPr>
          <w:p w14:paraId="60A7EDE0">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255D9C45">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防雷</w:t>
            </w:r>
          </w:p>
        </w:tc>
        <w:tc>
          <w:tcPr>
            <w:tcW w:w="2327" w:type="dxa"/>
            <w:vMerge w:val="continue"/>
            <w:vAlign w:val="center"/>
          </w:tcPr>
          <w:p w14:paraId="1340BA24">
            <w:pPr>
              <w:pStyle w:val="9"/>
              <w:spacing w:line="600" w:lineRule="exact"/>
              <w:ind w:left="0" w:leftChars="0" w:firstLine="0"/>
              <w:jc w:val="center"/>
              <w:rPr>
                <w:rFonts w:ascii="仿宋" w:hAnsi="仿宋" w:eastAsia="仿宋" w:cs="仿宋"/>
                <w:b/>
                <w:bCs/>
                <w:kern w:val="0"/>
                <w:sz w:val="28"/>
                <w:szCs w:val="28"/>
              </w:rPr>
            </w:pPr>
          </w:p>
        </w:tc>
      </w:tr>
      <w:tr w14:paraId="4F90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505159C3">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3</w:t>
            </w:r>
          </w:p>
        </w:tc>
        <w:tc>
          <w:tcPr>
            <w:tcW w:w="2725" w:type="dxa"/>
            <w:vMerge w:val="continue"/>
            <w:vAlign w:val="center"/>
          </w:tcPr>
          <w:p w14:paraId="5BED6E0C">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3EA3A4E4">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防火</w:t>
            </w:r>
          </w:p>
        </w:tc>
        <w:tc>
          <w:tcPr>
            <w:tcW w:w="2327" w:type="dxa"/>
            <w:vMerge w:val="continue"/>
            <w:vAlign w:val="center"/>
          </w:tcPr>
          <w:p w14:paraId="26F99333">
            <w:pPr>
              <w:pStyle w:val="9"/>
              <w:spacing w:line="600" w:lineRule="exact"/>
              <w:ind w:left="0" w:leftChars="0" w:firstLine="0"/>
              <w:jc w:val="center"/>
              <w:rPr>
                <w:rFonts w:ascii="仿宋" w:hAnsi="仿宋" w:eastAsia="仿宋" w:cs="仿宋"/>
                <w:b/>
                <w:bCs/>
                <w:kern w:val="0"/>
                <w:sz w:val="28"/>
                <w:szCs w:val="28"/>
              </w:rPr>
            </w:pPr>
          </w:p>
        </w:tc>
      </w:tr>
      <w:tr w14:paraId="459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0204781F">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4</w:t>
            </w:r>
          </w:p>
        </w:tc>
        <w:tc>
          <w:tcPr>
            <w:tcW w:w="2725" w:type="dxa"/>
            <w:vMerge w:val="continue"/>
            <w:vAlign w:val="center"/>
          </w:tcPr>
          <w:p w14:paraId="0080F024">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6D89555E">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触电</w:t>
            </w:r>
          </w:p>
        </w:tc>
        <w:tc>
          <w:tcPr>
            <w:tcW w:w="2327" w:type="dxa"/>
            <w:vMerge w:val="continue"/>
            <w:vAlign w:val="center"/>
          </w:tcPr>
          <w:p w14:paraId="489CE224">
            <w:pPr>
              <w:pStyle w:val="9"/>
              <w:spacing w:line="600" w:lineRule="exact"/>
              <w:ind w:left="0" w:leftChars="0" w:firstLine="0"/>
              <w:jc w:val="center"/>
              <w:rPr>
                <w:rFonts w:ascii="仿宋" w:hAnsi="仿宋" w:eastAsia="仿宋" w:cs="仿宋"/>
                <w:b/>
                <w:bCs/>
                <w:kern w:val="0"/>
                <w:sz w:val="28"/>
                <w:szCs w:val="28"/>
              </w:rPr>
            </w:pPr>
          </w:p>
        </w:tc>
      </w:tr>
    </w:tbl>
    <w:p w14:paraId="1965488C">
      <w:pPr>
        <w:adjustRightInd w:val="0"/>
        <w:spacing w:line="600" w:lineRule="exact"/>
        <w:ind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二、逃生路线</w:t>
      </w:r>
    </w:p>
    <w:p w14:paraId="5D9CDEBA">
      <w:pPr>
        <w:adjustRightInd w:val="0"/>
        <w:rPr>
          <w:rFonts w:ascii="仿宋" w:hAnsi="仿宋" w:eastAsia="仿宋" w:cs="仿宋"/>
          <w:sz w:val="28"/>
          <w:szCs w:val="28"/>
        </w:rPr>
      </w:pPr>
      <w:r>
        <w:rPr>
          <w:rFonts w:hint="eastAsia" w:ascii="仿宋" w:hAnsi="仿宋" w:eastAsia="仿宋" w:cs="仿宋"/>
          <w:sz w:val="28"/>
          <w:szCs w:val="28"/>
        </w:rPr>
        <w:drawing>
          <wp:inline distT="0" distB="0" distL="114300" distR="114300">
            <wp:extent cx="5113020" cy="4221480"/>
            <wp:effectExtent l="0" t="0" r="7620" b="0"/>
            <wp:docPr id="10" name="图片 10" descr="微信截图_2024080109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截图_20240801092000"/>
                    <pic:cNvPicPr>
                      <a:picLocks noChangeAspect="1"/>
                    </pic:cNvPicPr>
                  </pic:nvPicPr>
                  <pic:blipFill>
                    <a:blip r:embed="rId6"/>
                    <a:stretch>
                      <a:fillRect/>
                    </a:stretch>
                  </pic:blipFill>
                  <pic:spPr>
                    <a:xfrm>
                      <a:off x="0" y="0"/>
                      <a:ext cx="5113020" cy="4221480"/>
                    </a:xfrm>
                    <a:prstGeom prst="rect">
                      <a:avLst/>
                    </a:prstGeom>
                  </pic:spPr>
                </pic:pic>
              </a:graphicData>
            </a:graphic>
          </wp:inline>
        </w:drawing>
      </w:r>
    </w:p>
    <w:p w14:paraId="6619646D">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第十条  安全生产保险及担保</w:t>
      </w:r>
    </w:p>
    <w:p w14:paraId="772EA82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（本条款由企业针对出租物业具体情况选择使用）</w:t>
      </w:r>
    </w:p>
    <w:p w14:paraId="53F5B1F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（一）风险担保</w:t>
      </w:r>
    </w:p>
    <w:p w14:paraId="13BA1E3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如乙方从事的生产经营活动存在较大安全风险，应在签订本协议的同时，向甲方提供风险担保（包括但不限于抵押或质押或第三人担保等），承诺一旦发生事故而造成的一切损失，均由乙方或作为担保人的第三方承担。</w:t>
      </w:r>
    </w:p>
    <w:p w14:paraId="6626D024">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乙方从事危险化学品、交通运输、建筑施工、民用爆炸物品、金属冶炼、渔业生产等行业的须投保</w:t>
      </w:r>
      <w:r>
        <w:rPr>
          <w:rFonts w:hint="eastAsia" w:ascii="仿宋" w:hAnsi="仿宋" w:eastAsia="仿宋" w:cs="仿宋"/>
          <w:kern w:val="0"/>
          <w:sz w:val="28"/>
          <w:szCs w:val="28"/>
        </w:rPr>
        <w:t>安全生产责任保险,</w:t>
      </w:r>
      <w:r>
        <w:rPr>
          <w:rFonts w:hint="eastAsia" w:ascii="仿宋" w:hAnsi="仿宋" w:eastAsia="仿宋" w:cs="仿宋"/>
          <w:sz w:val="28"/>
          <w:szCs w:val="28"/>
        </w:rPr>
        <w:t>并将直接从事生产作业岗位工作的员工（含实习生）全部纳入安全生产责任保险投保范围，使用被派遣劳动者直接从事生产作业岗位工作的，应当将其纳入投保范围，劳务派遣单位已为其购买安全生产责任保险的除外。乙方从事锂电池生产存储加工、涉氨制冷、粉尘涉爆、有限空间等其他行业的，建议投保</w:t>
      </w:r>
      <w:r>
        <w:rPr>
          <w:rFonts w:hint="eastAsia" w:ascii="仿宋" w:hAnsi="仿宋" w:eastAsia="仿宋" w:cs="仿宋"/>
          <w:kern w:val="0"/>
          <w:sz w:val="28"/>
          <w:szCs w:val="28"/>
        </w:rPr>
        <w:t>安全生产责任保险。</w:t>
      </w:r>
    </w:p>
    <w:p w14:paraId="7A0BE7F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（二）罚款承担</w:t>
      </w:r>
    </w:p>
    <w:p w14:paraId="35CDF3D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如因乙方责任造成的安全事故或其安全生产违法行为导致被政府或行政主管部门罚款，均由乙方承担。如乙方不直接支付罚款，甲方按照政府或行政部门的要求可从乙方交纳的租赁</w:t>
      </w:r>
      <w:r>
        <w:rPr>
          <w:rFonts w:hint="eastAsia" w:ascii="仿宋" w:hAnsi="仿宋" w:eastAsia="仿宋" w:cs="仿宋"/>
          <w:sz w:val="28"/>
          <w:szCs w:val="28"/>
          <w:lang w:eastAsia="zh-CN"/>
        </w:rPr>
        <w:t>合同押金</w:t>
      </w:r>
      <w:r>
        <w:rPr>
          <w:rFonts w:hint="eastAsia" w:ascii="仿宋" w:hAnsi="仿宋" w:eastAsia="仿宋" w:cs="仿宋"/>
          <w:sz w:val="28"/>
          <w:szCs w:val="28"/>
        </w:rPr>
        <w:t>中扣除，不足部分可继续从乙方提供的风险担保中支付，或通过其他法律渠道向乙方追索。</w:t>
      </w:r>
    </w:p>
    <w:p w14:paraId="3910A9DE">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第十一条  违约责任</w:t>
      </w:r>
    </w:p>
    <w:p w14:paraId="4F5181EA">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协议双方因不履行或不完全、不正确履行协议约定的安全生产管理责任，导致发生生产安全事故，除由司法机关依法追究法律责任外，事故责任方还应向对方赔偿事故造成的经济损失。</w:t>
      </w:r>
    </w:p>
    <w:p w14:paraId="04F1C6CD">
      <w:pPr>
        <w:spacing w:line="600" w:lineRule="exact"/>
        <w:ind w:firstLine="562" w:firstLineChars="200"/>
        <w:rPr>
          <w:rFonts w:ascii="仿宋" w:hAnsi="仿宋" w:eastAsia="仿宋" w:cs="仿宋"/>
          <w:b/>
          <w:sz w:val="28"/>
          <w:szCs w:val="28"/>
        </w:rPr>
      </w:pPr>
      <w:r>
        <w:rPr>
          <w:rFonts w:hint="eastAsia" w:ascii="仿宋" w:hAnsi="仿宋" w:eastAsia="仿宋" w:cs="仿宋"/>
          <w:b/>
          <w:sz w:val="28"/>
          <w:szCs w:val="28"/>
        </w:rPr>
        <w:t>第十二条  争议的解决</w:t>
      </w:r>
    </w:p>
    <w:p w14:paraId="4A646350">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本协议履行过程中所发生的争议，甲乙双方应协商解决；协商不成的，可请求租赁物业所在地公安、消防、安监、市监、环保、街道办等政府主管部门处理，或者依法向人民法院提起诉讼。</w:t>
      </w:r>
    </w:p>
    <w:p w14:paraId="0842E0CA">
      <w:pPr>
        <w:spacing w:line="600" w:lineRule="exact"/>
        <w:ind w:firstLine="562" w:firstLineChars="200"/>
        <w:rPr>
          <w:rFonts w:ascii="仿宋" w:hAnsi="仿宋" w:eastAsia="仿宋" w:cs="仿宋"/>
          <w:b/>
          <w:sz w:val="28"/>
          <w:szCs w:val="28"/>
        </w:rPr>
      </w:pPr>
      <w:r>
        <w:rPr>
          <w:rFonts w:hint="eastAsia" w:ascii="仿宋" w:hAnsi="仿宋" w:eastAsia="仿宋" w:cs="仿宋"/>
          <w:b/>
          <w:sz w:val="28"/>
          <w:szCs w:val="28"/>
        </w:rPr>
        <w:t>第十三条  其它事项</w:t>
      </w:r>
    </w:p>
    <w:p w14:paraId="08B6480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（一）甲乙双方签订的有关安全生产管理条款与本协议不一致的，以本协议为准。</w:t>
      </w:r>
    </w:p>
    <w:p w14:paraId="53F4FEB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（二）本协议自双方签字盖章后生效。本协议一式叁份，甲方执两份，乙方执壹份，均具同等法律效力。</w:t>
      </w:r>
    </w:p>
    <w:p w14:paraId="78DBAC35">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第十四条 通知与送达</w:t>
      </w:r>
    </w:p>
    <w:p w14:paraId="1E6A5A4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1.甲、乙双方因履行本合同而相互发出或者提供的所有通知、文件、材料，均以本合同所列明的地址、电话、微信、传真、电子邮箱通知和送达。一方迁址或者变更电话、传真、电子邮箱的，应当书面通知对方。</w:t>
      </w:r>
    </w:p>
    <w:p w14:paraId="7116145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2.以当面交付文件方式送达的，交付之时视为送达；以电子邮件或微信方式送达的，发出电子邮件或微信信息时视为送达；以传真方式送达的，发出传真时视为送达；以邮寄方式送达的，邮件交邮当日视为送达。</w:t>
      </w:r>
    </w:p>
    <w:p w14:paraId="7717DA98">
      <w:pPr>
        <w:widowControl/>
        <w:numPr>
          <w:ilvl w:val="255"/>
          <w:numId w:val="0"/>
        </w:numPr>
        <w:spacing w:line="480" w:lineRule="exact"/>
        <w:ind w:left="480"/>
        <w:jc w:val="left"/>
        <w:textAlignment w:val="baseline"/>
        <w:rPr>
          <w:rFonts w:ascii="仿宋" w:hAnsi="仿宋" w:eastAsia="仿宋" w:cs="仿宋"/>
          <w:sz w:val="28"/>
          <w:szCs w:val="28"/>
        </w:rPr>
      </w:pPr>
      <w:r>
        <w:rPr>
          <w:rFonts w:hint="eastAsia" w:ascii="仿宋" w:hAnsi="仿宋" w:eastAsia="仿宋" w:cs="仿宋"/>
          <w:b/>
          <w:bCs/>
          <w:sz w:val="28"/>
          <w:szCs w:val="28"/>
        </w:rPr>
        <w:t>第十五条</w:t>
      </w:r>
      <w:r>
        <w:rPr>
          <w:rFonts w:hint="eastAsia" w:ascii="仿宋" w:hAnsi="仿宋" w:eastAsia="仿宋" w:cs="仿宋"/>
          <w:sz w:val="28"/>
          <w:szCs w:val="28"/>
        </w:rPr>
        <w:t xml:space="preserve"> </w:t>
      </w:r>
      <w:r>
        <w:rPr>
          <w:rFonts w:hint="eastAsia" w:ascii="仿宋" w:hAnsi="仿宋" w:eastAsia="仿宋" w:cs="仿宋"/>
          <w:bCs/>
          <w:sz w:val="28"/>
          <w:szCs w:val="28"/>
        </w:rPr>
        <w:t>本协议一式陆份，甲乙双方各执叁份</w:t>
      </w:r>
      <w:r>
        <w:rPr>
          <w:rFonts w:hint="eastAsia" w:ascii="仿宋" w:hAnsi="仿宋" w:eastAsia="仿宋" w:cs="仿宋"/>
          <w:sz w:val="28"/>
          <w:szCs w:val="28"/>
        </w:rPr>
        <w:t>。</w:t>
      </w:r>
    </w:p>
    <w:p w14:paraId="6929FD04">
      <w:pPr>
        <w:widowControl/>
        <w:spacing w:after="90" w:line="345" w:lineRule="atLeast"/>
        <w:ind w:firstLine="280" w:firstLineChars="100"/>
        <w:jc w:val="left"/>
        <w:rPr>
          <w:rFonts w:ascii="仿宋" w:hAnsi="仿宋" w:eastAsia="仿宋" w:cs="仿宋"/>
          <w:kern w:val="0"/>
          <w:sz w:val="28"/>
          <w:szCs w:val="28"/>
        </w:rPr>
      </w:pPr>
    </w:p>
    <w:p w14:paraId="0ADC6FC7">
      <w:pPr>
        <w:widowControl/>
        <w:spacing w:after="90" w:line="345" w:lineRule="atLeast"/>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甲方：广州南沙</w:t>
      </w:r>
      <w:r>
        <w:rPr>
          <w:rFonts w:hint="eastAsia" w:ascii="仿宋" w:hAnsi="仿宋" w:eastAsia="仿宋" w:cs="仿宋"/>
          <w:kern w:val="0"/>
          <w:sz w:val="28"/>
          <w:szCs w:val="28"/>
          <w:lang w:val="en-US" w:eastAsia="zh-CN"/>
        </w:rPr>
        <w:t>湿地旅游发展</w:t>
      </w:r>
      <w:r>
        <w:rPr>
          <w:rFonts w:hint="eastAsia" w:ascii="仿宋" w:hAnsi="仿宋" w:eastAsia="仿宋" w:cs="仿宋"/>
          <w:kern w:val="0"/>
          <w:sz w:val="28"/>
          <w:szCs w:val="28"/>
        </w:rPr>
        <w:t xml:space="preserve">      乙方：</w:t>
      </w:r>
    </w:p>
    <w:p w14:paraId="45B8D94B">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有限公司（盖章）            </w:t>
      </w:r>
      <w:r>
        <w:rPr>
          <w:rFonts w:hint="eastAsia" w:ascii="仿宋" w:hAnsi="仿宋" w:eastAsia="仿宋" w:cs="仿宋"/>
          <w:sz w:val="28"/>
          <w:szCs w:val="28"/>
        </w:rPr>
        <w:t xml:space="preserve"> </w:t>
      </w:r>
      <w:r>
        <w:rPr>
          <w:rFonts w:hint="eastAsia" w:ascii="仿宋" w:hAnsi="仿宋" w:eastAsia="仿宋" w:cs="仿宋"/>
          <w:kern w:val="0"/>
          <w:sz w:val="28"/>
          <w:szCs w:val="28"/>
        </w:rPr>
        <w:t xml:space="preserve">（盖章）                                                  </w:t>
      </w:r>
    </w:p>
    <w:p w14:paraId="5F74EE55">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法人或委托代理人（签字）：    法人或委托代理人（签字）：  </w:t>
      </w:r>
    </w:p>
    <w:p w14:paraId="23E815C9">
      <w:pPr>
        <w:widowControl/>
        <w:spacing w:line="360" w:lineRule="auto"/>
        <w:ind w:firstLine="280" w:firstLineChars="100"/>
        <w:jc w:val="left"/>
        <w:rPr>
          <w:rFonts w:ascii="仿宋" w:hAnsi="仿宋" w:eastAsia="仿宋" w:cs="仿宋"/>
          <w:kern w:val="0"/>
          <w:sz w:val="28"/>
          <w:szCs w:val="28"/>
        </w:rPr>
      </w:pPr>
      <w:r>
        <w:rPr>
          <w:rFonts w:hint="eastAsia" w:ascii="仿宋" w:hAnsi="仿宋" w:eastAsia="仿宋" w:cs="仿宋"/>
          <w:kern w:val="0"/>
          <w:sz w:val="28"/>
          <w:szCs w:val="28"/>
        </w:rPr>
        <w:t xml:space="preserve">                   </w:t>
      </w:r>
    </w:p>
    <w:p w14:paraId="199890DF">
      <w:pPr>
        <w:widowControl/>
        <w:spacing w:line="360" w:lineRule="auto"/>
        <w:ind w:firstLine="280" w:firstLineChars="100"/>
        <w:jc w:val="left"/>
        <w:rPr>
          <w:rFonts w:ascii="仿宋" w:hAnsi="仿宋" w:eastAsia="仿宋" w:cs="仿宋"/>
          <w:sz w:val="28"/>
          <w:szCs w:val="28"/>
        </w:rPr>
      </w:pPr>
      <w:r>
        <w:rPr>
          <w:rFonts w:hint="eastAsia" w:ascii="仿宋" w:hAnsi="仿宋" w:eastAsia="仿宋" w:cs="仿宋"/>
          <w:kern w:val="0"/>
          <w:sz w:val="28"/>
          <w:szCs w:val="28"/>
        </w:rPr>
        <w:t>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  月 日          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 月  日</w:t>
      </w:r>
    </w:p>
    <w:p w14:paraId="0CFA6E1E">
      <w:pPr>
        <w:spacing w:line="560" w:lineRule="exact"/>
        <w:rPr>
          <w:rFonts w:ascii="仿宋_GB2312" w:eastAsia="仿宋_GB2312"/>
          <w:sz w:val="32"/>
          <w:szCs w:val="32"/>
        </w:rPr>
      </w:pPr>
    </w:p>
    <w:p w14:paraId="7E5F23BA">
      <w:pPr>
        <w:widowControl/>
        <w:spacing w:line="360" w:lineRule="auto"/>
        <w:rPr>
          <w:rFonts w:ascii="仿宋_GB2312" w:hAnsi="仿宋_GB2312" w:eastAsia="仿宋_GB2312" w:cs="仿宋_GB2312"/>
          <w:b/>
          <w:bCs/>
          <w:sz w:val="52"/>
          <w:szCs w:val="52"/>
        </w:rPr>
      </w:pPr>
    </w:p>
    <w:p w14:paraId="22EA8491"/>
    <w:p w14:paraId="3770FEF0">
      <w:pPr>
        <w:rPr>
          <w:rFonts w:hint="eastAsia" w:ascii="仿宋_GB2312" w:hAnsi="仿宋_GB2312" w:eastAsia="仿宋_GB2312" w:cs="仿宋_GB2312"/>
          <w:b/>
          <w:sz w:val="28"/>
          <w:szCs w:val="28"/>
        </w:rPr>
      </w:pPr>
    </w:p>
    <w:p w14:paraId="19EC7B08">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附件3：物业现状图及面积汇总表</w:t>
      </w:r>
    </w:p>
    <w:p w14:paraId="203898E8">
      <w:pPr>
        <w:jc w:val="center"/>
        <w:rPr>
          <w:b/>
          <w:sz w:val="44"/>
          <w:szCs w:val="44"/>
        </w:rPr>
      </w:pPr>
      <w:r>
        <w:rPr>
          <w:rFonts w:hint="eastAsia" w:ascii="仿宋" w:hAnsi="仿宋" w:eastAsia="仿宋" w:cs="仿宋"/>
          <w:b/>
          <w:sz w:val="44"/>
          <w:szCs w:val="44"/>
        </w:rPr>
        <w:t>物业现状图及面积汇总表</w:t>
      </w:r>
    </w:p>
    <w:tbl>
      <w:tblPr>
        <w:tblStyle w:val="10"/>
        <w:tblW w:w="9091" w:type="dxa"/>
        <w:tblInd w:w="96" w:type="dxa"/>
        <w:tblLayout w:type="fixed"/>
        <w:tblCellMar>
          <w:top w:w="0" w:type="dxa"/>
          <w:left w:w="108" w:type="dxa"/>
          <w:bottom w:w="0" w:type="dxa"/>
          <w:right w:w="108" w:type="dxa"/>
        </w:tblCellMar>
      </w:tblPr>
      <w:tblGrid>
        <w:gridCol w:w="2467"/>
        <w:gridCol w:w="1944"/>
        <w:gridCol w:w="2700"/>
        <w:gridCol w:w="1308"/>
        <w:gridCol w:w="672"/>
      </w:tblGrid>
      <w:tr w14:paraId="177845E5">
        <w:tblPrEx>
          <w:tblCellMar>
            <w:top w:w="0" w:type="dxa"/>
            <w:left w:w="108" w:type="dxa"/>
            <w:bottom w:w="0" w:type="dxa"/>
            <w:right w:w="108" w:type="dxa"/>
          </w:tblCellMar>
        </w:tblPrEx>
        <w:trPr>
          <w:trHeight w:val="444"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BC3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房屋编号</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A1AF">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房屋照片</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700A">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房屋情况</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2B0E6">
            <w:pPr>
              <w:widowControl/>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面积</w:t>
            </w:r>
          </w:p>
          <w:p w14:paraId="77683C0C">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（m²）</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817B">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备注</w:t>
            </w:r>
          </w:p>
        </w:tc>
      </w:tr>
      <w:tr w14:paraId="5DACB85E">
        <w:tblPrEx>
          <w:tblCellMar>
            <w:top w:w="0" w:type="dxa"/>
            <w:left w:w="108" w:type="dxa"/>
            <w:bottom w:w="0" w:type="dxa"/>
            <w:right w:w="108" w:type="dxa"/>
          </w:tblCellMar>
        </w:tblPrEx>
        <w:trPr>
          <w:trHeight w:val="522"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1F8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新中一街47号</w:t>
            </w:r>
          </w:p>
        </w:tc>
        <w:tc>
          <w:tcPr>
            <w:tcW w:w="19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81B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59264" behindDoc="0" locked="0" layoutInCell="1" allowOverlap="1">
                  <wp:simplePos x="0" y="0"/>
                  <wp:positionH relativeFrom="column">
                    <wp:posOffset>-43815</wp:posOffset>
                  </wp:positionH>
                  <wp:positionV relativeFrom="paragraph">
                    <wp:posOffset>76200</wp:posOffset>
                  </wp:positionV>
                  <wp:extent cx="1031240" cy="659130"/>
                  <wp:effectExtent l="0" t="0" r="5080" b="11430"/>
                  <wp:wrapNone/>
                  <wp:docPr id="8" name="图片_1"/>
                  <wp:cNvGraphicFramePr/>
                  <a:graphic xmlns:a="http://schemas.openxmlformats.org/drawingml/2006/main">
                    <a:graphicData uri="http://schemas.openxmlformats.org/drawingml/2006/picture">
                      <pic:pic xmlns:pic="http://schemas.openxmlformats.org/drawingml/2006/picture">
                        <pic:nvPicPr>
                          <pic:cNvPr id="8" name="图片_1"/>
                          <pic:cNvPicPr/>
                        </pic:nvPicPr>
                        <pic:blipFill>
                          <a:blip r:embed="rId7"/>
                          <a:stretch>
                            <a:fillRect/>
                          </a:stretch>
                        </pic:blipFill>
                        <pic:spPr>
                          <a:xfrm>
                            <a:off x="0" y="0"/>
                            <a:ext cx="1031240" cy="659130"/>
                          </a:xfrm>
                          <a:prstGeom prst="rect">
                            <a:avLst/>
                          </a:prstGeom>
                          <a:noFill/>
                          <a:ln>
                            <a:noFill/>
                          </a:ln>
                        </pic:spPr>
                      </pic:pic>
                    </a:graphicData>
                  </a:graphic>
                </wp:anchor>
              </w:drawing>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668DA">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主楼砖混结构2层，附属砖瓦结构房屋1层。</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5A7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164.62</w:t>
            </w:r>
          </w:p>
        </w:tc>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ACCA">
            <w:pPr>
              <w:jc w:val="center"/>
              <w:rPr>
                <w:rFonts w:ascii="仿宋" w:hAnsi="仿宋" w:eastAsia="仿宋" w:cs="仿宋"/>
                <w:color w:val="000000"/>
                <w:sz w:val="24"/>
              </w:rPr>
            </w:pPr>
          </w:p>
        </w:tc>
      </w:tr>
      <w:tr w14:paraId="26F17CF9">
        <w:tblPrEx>
          <w:tblCellMar>
            <w:top w:w="0" w:type="dxa"/>
            <w:left w:w="108" w:type="dxa"/>
            <w:bottom w:w="0" w:type="dxa"/>
            <w:right w:w="108" w:type="dxa"/>
          </w:tblCellMar>
        </w:tblPrEx>
        <w:trPr>
          <w:trHeight w:val="786"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D91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新中一街47号之一</w:t>
            </w:r>
          </w:p>
        </w:tc>
        <w:tc>
          <w:tcPr>
            <w:tcW w:w="19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6918">
            <w:pPr>
              <w:jc w:val="center"/>
              <w:rPr>
                <w:rFonts w:ascii="仿宋" w:hAnsi="仿宋" w:eastAsia="仿宋" w:cs="仿宋"/>
                <w:color w:val="000000"/>
                <w:sz w:val="24"/>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1AA97">
            <w:pPr>
              <w:jc w:val="left"/>
              <w:rPr>
                <w:rFonts w:ascii="仿宋" w:hAnsi="仿宋" w:eastAsia="仿宋" w:cs="仿宋"/>
                <w:color w:val="000000"/>
                <w:sz w:val="24"/>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39C5">
            <w:pPr>
              <w:jc w:val="center"/>
              <w:rPr>
                <w:rFonts w:ascii="仿宋" w:hAnsi="仿宋" w:eastAsia="仿宋" w:cs="仿宋"/>
                <w:b/>
                <w:bCs/>
                <w:color w:val="000000"/>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2F61">
            <w:pPr>
              <w:jc w:val="center"/>
              <w:rPr>
                <w:rFonts w:ascii="仿宋" w:hAnsi="仿宋" w:eastAsia="仿宋" w:cs="仿宋"/>
                <w:color w:val="000000"/>
                <w:sz w:val="24"/>
              </w:rPr>
            </w:pPr>
          </w:p>
        </w:tc>
      </w:tr>
      <w:tr w14:paraId="2D30DE69">
        <w:tblPrEx>
          <w:tblCellMar>
            <w:top w:w="0" w:type="dxa"/>
            <w:left w:w="108" w:type="dxa"/>
            <w:bottom w:w="0" w:type="dxa"/>
            <w:right w:w="108" w:type="dxa"/>
          </w:tblCellMar>
        </w:tblPrEx>
        <w:trPr>
          <w:trHeight w:val="562"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230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新中一街45号</w:t>
            </w:r>
          </w:p>
        </w:tc>
        <w:tc>
          <w:tcPr>
            <w:tcW w:w="19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14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0288" behindDoc="0" locked="0" layoutInCell="1" allowOverlap="1">
                  <wp:simplePos x="0" y="0"/>
                  <wp:positionH relativeFrom="column">
                    <wp:posOffset>-3810</wp:posOffset>
                  </wp:positionH>
                  <wp:positionV relativeFrom="paragraph">
                    <wp:posOffset>66675</wp:posOffset>
                  </wp:positionV>
                  <wp:extent cx="1007110" cy="602615"/>
                  <wp:effectExtent l="0" t="0" r="13970" b="6985"/>
                  <wp:wrapNone/>
                  <wp:docPr id="9" name="图片_2"/>
                  <wp:cNvGraphicFramePr/>
                  <a:graphic xmlns:a="http://schemas.openxmlformats.org/drawingml/2006/main">
                    <a:graphicData uri="http://schemas.openxmlformats.org/drawingml/2006/picture">
                      <pic:pic xmlns:pic="http://schemas.openxmlformats.org/drawingml/2006/picture">
                        <pic:nvPicPr>
                          <pic:cNvPr id="9" name="图片_2"/>
                          <pic:cNvPicPr/>
                        </pic:nvPicPr>
                        <pic:blipFill>
                          <a:blip r:embed="rId8"/>
                          <a:stretch>
                            <a:fillRect/>
                          </a:stretch>
                        </pic:blipFill>
                        <pic:spPr>
                          <a:xfrm>
                            <a:off x="0" y="0"/>
                            <a:ext cx="1007110" cy="602615"/>
                          </a:xfrm>
                          <a:prstGeom prst="rect">
                            <a:avLst/>
                          </a:prstGeom>
                          <a:noFill/>
                          <a:ln>
                            <a:noFill/>
                          </a:ln>
                        </pic:spPr>
                      </pic:pic>
                    </a:graphicData>
                  </a:graphic>
                </wp:anchor>
              </w:drawing>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FCA6">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一层砖瓦房屋3座（含厕所间）。</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26FA">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87.05</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00EA">
            <w:pPr>
              <w:rPr>
                <w:rFonts w:ascii="仿宋" w:hAnsi="仿宋" w:eastAsia="仿宋" w:cs="仿宋"/>
                <w:color w:val="000000"/>
                <w:sz w:val="24"/>
              </w:rPr>
            </w:pPr>
          </w:p>
        </w:tc>
      </w:tr>
      <w:tr w14:paraId="73B2ADCB">
        <w:tblPrEx>
          <w:tblCellMar>
            <w:top w:w="0" w:type="dxa"/>
            <w:left w:w="108" w:type="dxa"/>
            <w:bottom w:w="0" w:type="dxa"/>
            <w:right w:w="108" w:type="dxa"/>
          </w:tblCellMar>
        </w:tblPrEx>
        <w:trPr>
          <w:trHeight w:val="578"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2DF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新中一街45号之一</w:t>
            </w:r>
          </w:p>
        </w:tc>
        <w:tc>
          <w:tcPr>
            <w:tcW w:w="19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7C67">
            <w:pPr>
              <w:jc w:val="center"/>
              <w:rPr>
                <w:rFonts w:ascii="仿宋" w:hAnsi="仿宋" w:eastAsia="仿宋" w:cs="仿宋"/>
                <w:color w:val="000000"/>
                <w:sz w:val="24"/>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582F">
            <w:pPr>
              <w:jc w:val="left"/>
              <w:rPr>
                <w:rFonts w:ascii="仿宋" w:hAnsi="仿宋" w:eastAsia="仿宋" w:cs="仿宋"/>
                <w:color w:val="000000"/>
                <w:sz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B19C">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16.88</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596E">
            <w:pPr>
              <w:rPr>
                <w:rFonts w:ascii="仿宋" w:hAnsi="仿宋" w:eastAsia="仿宋" w:cs="仿宋"/>
                <w:color w:val="000000"/>
                <w:sz w:val="24"/>
              </w:rPr>
            </w:pPr>
          </w:p>
        </w:tc>
      </w:tr>
      <w:tr w14:paraId="040CFB2F">
        <w:tblPrEx>
          <w:tblCellMar>
            <w:top w:w="0" w:type="dxa"/>
            <w:left w:w="108" w:type="dxa"/>
            <w:bottom w:w="0" w:type="dxa"/>
            <w:right w:w="108" w:type="dxa"/>
          </w:tblCellMar>
        </w:tblPrEx>
        <w:trPr>
          <w:trHeight w:val="1118"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46F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新中一街43-1号</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8C9C">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1312" behindDoc="0" locked="0" layoutInCell="1" allowOverlap="1">
                  <wp:simplePos x="0" y="0"/>
                  <wp:positionH relativeFrom="column">
                    <wp:posOffset>-5715</wp:posOffset>
                  </wp:positionH>
                  <wp:positionV relativeFrom="paragraph">
                    <wp:posOffset>53975</wp:posOffset>
                  </wp:positionV>
                  <wp:extent cx="822960" cy="594995"/>
                  <wp:effectExtent l="0" t="0" r="0" b="14605"/>
                  <wp:wrapNone/>
                  <wp:docPr id="5" name="图片_3"/>
                  <wp:cNvGraphicFramePr/>
                  <a:graphic xmlns:a="http://schemas.openxmlformats.org/drawingml/2006/main">
                    <a:graphicData uri="http://schemas.openxmlformats.org/drawingml/2006/picture">
                      <pic:pic xmlns:pic="http://schemas.openxmlformats.org/drawingml/2006/picture">
                        <pic:nvPicPr>
                          <pic:cNvPr id="5" name="图片_3"/>
                          <pic:cNvPicPr/>
                        </pic:nvPicPr>
                        <pic:blipFill>
                          <a:blip r:embed="rId9"/>
                          <a:stretch>
                            <a:fillRect/>
                          </a:stretch>
                        </pic:blipFill>
                        <pic:spPr>
                          <a:xfrm>
                            <a:off x="0" y="0"/>
                            <a:ext cx="822960" cy="594995"/>
                          </a:xfrm>
                          <a:prstGeom prst="rect">
                            <a:avLst/>
                          </a:prstGeom>
                          <a:noFill/>
                          <a:ln>
                            <a:noFill/>
                          </a:ln>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0176">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砖混结构一座4层，附属搭棚一间。</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B59A">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308</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B574">
            <w:pPr>
              <w:widowControl/>
              <w:jc w:val="left"/>
              <w:textAlignment w:val="center"/>
              <w:rPr>
                <w:rFonts w:ascii="仿宋" w:hAnsi="仿宋" w:eastAsia="仿宋" w:cs="仿宋"/>
                <w:color w:val="000000"/>
                <w:sz w:val="24"/>
              </w:rPr>
            </w:pPr>
          </w:p>
        </w:tc>
      </w:tr>
      <w:tr w14:paraId="6F2DF252">
        <w:tblPrEx>
          <w:tblCellMar>
            <w:top w:w="0" w:type="dxa"/>
            <w:left w:w="108" w:type="dxa"/>
            <w:bottom w:w="0" w:type="dxa"/>
            <w:right w:w="108" w:type="dxa"/>
          </w:tblCellMar>
        </w:tblPrEx>
        <w:trPr>
          <w:trHeight w:val="540"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FDF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新中一街43号</w:t>
            </w:r>
          </w:p>
        </w:tc>
        <w:tc>
          <w:tcPr>
            <w:tcW w:w="19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8F9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2336" behindDoc="0" locked="0" layoutInCell="1" allowOverlap="1">
                  <wp:simplePos x="0" y="0"/>
                  <wp:positionH relativeFrom="column">
                    <wp:posOffset>-20955</wp:posOffset>
                  </wp:positionH>
                  <wp:positionV relativeFrom="paragraph">
                    <wp:posOffset>78105</wp:posOffset>
                  </wp:positionV>
                  <wp:extent cx="1004570" cy="567690"/>
                  <wp:effectExtent l="0" t="0" r="5080" b="3810"/>
                  <wp:wrapNone/>
                  <wp:docPr id="6" name="图片_4"/>
                  <wp:cNvGraphicFramePr/>
                  <a:graphic xmlns:a="http://schemas.openxmlformats.org/drawingml/2006/main">
                    <a:graphicData uri="http://schemas.openxmlformats.org/drawingml/2006/picture">
                      <pic:pic xmlns:pic="http://schemas.openxmlformats.org/drawingml/2006/picture">
                        <pic:nvPicPr>
                          <pic:cNvPr id="6" name="图片_4"/>
                          <pic:cNvPicPr/>
                        </pic:nvPicPr>
                        <pic:blipFill>
                          <a:blip r:embed="rId10"/>
                          <a:stretch>
                            <a:fillRect/>
                          </a:stretch>
                        </pic:blipFill>
                        <pic:spPr>
                          <a:xfrm>
                            <a:off x="0" y="0"/>
                            <a:ext cx="1004570" cy="567690"/>
                          </a:xfrm>
                          <a:prstGeom prst="rect">
                            <a:avLst/>
                          </a:prstGeom>
                          <a:noFill/>
                          <a:ln>
                            <a:noFill/>
                          </a:ln>
                        </pic:spPr>
                      </pic:pic>
                    </a:graphicData>
                  </a:graphic>
                </wp:anchor>
              </w:drawing>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BBFA4">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主楼砖混结构一座2层，附属砖瓦结构房屋1层3座。</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AF3A">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92.36</w:t>
            </w:r>
          </w:p>
        </w:tc>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603D6">
            <w:pPr>
              <w:jc w:val="center"/>
              <w:rPr>
                <w:rFonts w:ascii="仿宋" w:hAnsi="仿宋" w:eastAsia="仿宋" w:cs="仿宋"/>
                <w:color w:val="000000"/>
                <w:sz w:val="24"/>
              </w:rPr>
            </w:pPr>
          </w:p>
        </w:tc>
      </w:tr>
      <w:tr w14:paraId="2EDD4EA6">
        <w:tblPrEx>
          <w:tblCellMar>
            <w:top w:w="0" w:type="dxa"/>
            <w:left w:w="108" w:type="dxa"/>
            <w:bottom w:w="0" w:type="dxa"/>
            <w:right w:w="108" w:type="dxa"/>
          </w:tblCellMar>
        </w:tblPrEx>
        <w:trPr>
          <w:trHeight w:val="466"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61BD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新中一街43号之一</w:t>
            </w:r>
          </w:p>
        </w:tc>
        <w:tc>
          <w:tcPr>
            <w:tcW w:w="19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D2A9">
            <w:pPr>
              <w:jc w:val="center"/>
              <w:rPr>
                <w:rFonts w:ascii="仿宋" w:hAnsi="仿宋" w:eastAsia="仿宋" w:cs="仿宋"/>
                <w:color w:val="000000"/>
                <w:sz w:val="24"/>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99461">
            <w:pPr>
              <w:jc w:val="left"/>
              <w:rPr>
                <w:rFonts w:ascii="仿宋" w:hAnsi="仿宋" w:eastAsia="仿宋" w:cs="仿宋"/>
                <w:color w:val="000000"/>
                <w:sz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3829">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50.42</w:t>
            </w: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D5E73">
            <w:pPr>
              <w:jc w:val="center"/>
              <w:rPr>
                <w:rFonts w:ascii="仿宋" w:hAnsi="仿宋" w:eastAsia="仿宋" w:cs="仿宋"/>
                <w:color w:val="000000"/>
                <w:sz w:val="24"/>
              </w:rPr>
            </w:pPr>
          </w:p>
        </w:tc>
      </w:tr>
      <w:tr w14:paraId="711D9C00">
        <w:tblPrEx>
          <w:tblCellMar>
            <w:top w:w="0" w:type="dxa"/>
            <w:left w:w="108" w:type="dxa"/>
            <w:bottom w:w="0" w:type="dxa"/>
            <w:right w:w="108" w:type="dxa"/>
          </w:tblCellMar>
        </w:tblPrEx>
        <w:trPr>
          <w:trHeight w:val="550"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0D3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新中一街41-2号</w:t>
            </w:r>
          </w:p>
        </w:tc>
        <w:tc>
          <w:tcPr>
            <w:tcW w:w="19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122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3360" behindDoc="0" locked="0" layoutInCell="1" allowOverlap="1">
                  <wp:simplePos x="0" y="0"/>
                  <wp:positionH relativeFrom="column">
                    <wp:posOffset>-8255</wp:posOffset>
                  </wp:positionH>
                  <wp:positionV relativeFrom="paragraph">
                    <wp:posOffset>50800</wp:posOffset>
                  </wp:positionV>
                  <wp:extent cx="1050925" cy="668655"/>
                  <wp:effectExtent l="0" t="0" r="635" b="1905"/>
                  <wp:wrapNone/>
                  <wp:docPr id="7" name="图片_5"/>
                  <wp:cNvGraphicFramePr/>
                  <a:graphic xmlns:a="http://schemas.openxmlformats.org/drawingml/2006/main">
                    <a:graphicData uri="http://schemas.openxmlformats.org/drawingml/2006/picture">
                      <pic:pic xmlns:pic="http://schemas.openxmlformats.org/drawingml/2006/picture">
                        <pic:nvPicPr>
                          <pic:cNvPr id="7" name="图片_5"/>
                          <pic:cNvPicPr/>
                        </pic:nvPicPr>
                        <pic:blipFill>
                          <a:blip r:embed="rId11"/>
                          <a:stretch>
                            <a:fillRect/>
                          </a:stretch>
                        </pic:blipFill>
                        <pic:spPr>
                          <a:xfrm>
                            <a:off x="0" y="0"/>
                            <a:ext cx="1050925" cy="668655"/>
                          </a:xfrm>
                          <a:prstGeom prst="rect">
                            <a:avLst/>
                          </a:prstGeom>
                          <a:noFill/>
                          <a:ln>
                            <a:noFill/>
                          </a:ln>
                        </pic:spPr>
                      </pic:pic>
                    </a:graphicData>
                  </a:graphic>
                </wp:anchor>
              </w:drawing>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6943">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砖瓦结构1层2座</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1C5D">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113.47</w:t>
            </w:r>
          </w:p>
        </w:tc>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DA47">
            <w:pPr>
              <w:jc w:val="center"/>
              <w:rPr>
                <w:rFonts w:ascii="仿宋" w:hAnsi="仿宋" w:eastAsia="仿宋" w:cs="仿宋"/>
                <w:color w:val="000000"/>
                <w:sz w:val="24"/>
              </w:rPr>
            </w:pPr>
          </w:p>
        </w:tc>
      </w:tr>
      <w:tr w14:paraId="365A2699">
        <w:tblPrEx>
          <w:tblCellMar>
            <w:top w:w="0" w:type="dxa"/>
            <w:left w:w="108" w:type="dxa"/>
            <w:bottom w:w="0" w:type="dxa"/>
            <w:right w:w="108" w:type="dxa"/>
          </w:tblCellMar>
        </w:tblPrEx>
        <w:trPr>
          <w:trHeight w:val="660"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8D6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新中一街41-2号之一</w:t>
            </w:r>
          </w:p>
        </w:tc>
        <w:tc>
          <w:tcPr>
            <w:tcW w:w="19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ADB7">
            <w:pPr>
              <w:jc w:val="center"/>
              <w:rPr>
                <w:rFonts w:ascii="仿宋" w:hAnsi="仿宋" w:eastAsia="仿宋" w:cs="仿宋"/>
                <w:color w:val="000000"/>
                <w:sz w:val="24"/>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24A4">
            <w:pPr>
              <w:jc w:val="left"/>
              <w:rPr>
                <w:rFonts w:ascii="仿宋" w:hAnsi="仿宋" w:eastAsia="仿宋" w:cs="仿宋"/>
                <w:color w:val="000000"/>
                <w:sz w:val="24"/>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7548">
            <w:pPr>
              <w:jc w:val="center"/>
              <w:rPr>
                <w:rFonts w:ascii="仿宋" w:hAnsi="仿宋" w:eastAsia="仿宋" w:cs="仿宋"/>
                <w:b/>
                <w:bCs/>
                <w:color w:val="000000"/>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0C7E">
            <w:pPr>
              <w:jc w:val="center"/>
              <w:rPr>
                <w:rFonts w:ascii="仿宋" w:hAnsi="仿宋" w:eastAsia="仿宋" w:cs="仿宋"/>
                <w:color w:val="000000"/>
                <w:sz w:val="24"/>
              </w:rPr>
            </w:pPr>
          </w:p>
        </w:tc>
      </w:tr>
      <w:tr w14:paraId="36960578">
        <w:tblPrEx>
          <w:tblCellMar>
            <w:top w:w="0" w:type="dxa"/>
            <w:left w:w="108" w:type="dxa"/>
            <w:bottom w:w="0" w:type="dxa"/>
            <w:right w:w="108" w:type="dxa"/>
          </w:tblCellMar>
        </w:tblPrEx>
        <w:trPr>
          <w:trHeight w:val="1428"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799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新中一街41号</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BA4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3360" behindDoc="0" locked="0" layoutInCell="1" allowOverlap="1">
                  <wp:simplePos x="0" y="0"/>
                  <wp:positionH relativeFrom="column">
                    <wp:posOffset>6985</wp:posOffset>
                  </wp:positionH>
                  <wp:positionV relativeFrom="paragraph">
                    <wp:posOffset>36195</wp:posOffset>
                  </wp:positionV>
                  <wp:extent cx="1101090" cy="777240"/>
                  <wp:effectExtent l="0" t="0" r="11430" b="0"/>
                  <wp:wrapNone/>
                  <wp:docPr id="2" name="图片_9"/>
                  <wp:cNvGraphicFramePr/>
                  <a:graphic xmlns:a="http://schemas.openxmlformats.org/drawingml/2006/main">
                    <a:graphicData uri="http://schemas.openxmlformats.org/drawingml/2006/picture">
                      <pic:pic xmlns:pic="http://schemas.openxmlformats.org/drawingml/2006/picture">
                        <pic:nvPicPr>
                          <pic:cNvPr id="2" name="图片_9"/>
                          <pic:cNvPicPr/>
                        </pic:nvPicPr>
                        <pic:blipFill>
                          <a:blip r:embed="rId12"/>
                          <a:stretch>
                            <a:fillRect/>
                          </a:stretch>
                        </pic:blipFill>
                        <pic:spPr>
                          <a:xfrm>
                            <a:off x="0" y="0"/>
                            <a:ext cx="1101090" cy="777240"/>
                          </a:xfrm>
                          <a:prstGeom prst="rect">
                            <a:avLst/>
                          </a:prstGeom>
                          <a:noFill/>
                          <a:ln>
                            <a:noFill/>
                          </a:ln>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0239">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砖混结构1座2层，附属砖混房屋1座一层，厕所1间。</w:t>
            </w:r>
          </w:p>
        </w:tc>
        <w:tc>
          <w:tcPr>
            <w:tcW w:w="1308" w:type="dxa"/>
            <w:tcBorders>
              <w:top w:val="nil"/>
              <w:left w:val="single" w:color="000000" w:sz="4" w:space="0"/>
              <w:bottom w:val="single" w:color="000000" w:sz="4" w:space="0"/>
              <w:right w:val="single" w:color="000000" w:sz="4" w:space="0"/>
            </w:tcBorders>
            <w:shd w:val="clear" w:color="auto" w:fill="auto"/>
            <w:vAlign w:val="center"/>
          </w:tcPr>
          <w:p w14:paraId="672A02AC">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244.47</w:t>
            </w:r>
          </w:p>
        </w:tc>
        <w:tc>
          <w:tcPr>
            <w:tcW w:w="672" w:type="dxa"/>
            <w:tcBorders>
              <w:top w:val="nil"/>
              <w:left w:val="single" w:color="000000" w:sz="4" w:space="0"/>
              <w:bottom w:val="single" w:color="000000" w:sz="4" w:space="0"/>
              <w:right w:val="single" w:color="000000" w:sz="4" w:space="0"/>
            </w:tcBorders>
            <w:shd w:val="clear" w:color="auto" w:fill="auto"/>
            <w:noWrap/>
            <w:vAlign w:val="center"/>
          </w:tcPr>
          <w:p w14:paraId="51B562A4">
            <w:pPr>
              <w:jc w:val="center"/>
              <w:rPr>
                <w:rFonts w:ascii="仿宋" w:hAnsi="仿宋" w:eastAsia="仿宋" w:cs="仿宋"/>
                <w:color w:val="000000"/>
                <w:sz w:val="24"/>
              </w:rPr>
            </w:pPr>
          </w:p>
        </w:tc>
      </w:tr>
      <w:tr w14:paraId="04FC2DAF">
        <w:tblPrEx>
          <w:tblCellMar>
            <w:top w:w="0" w:type="dxa"/>
            <w:left w:w="108" w:type="dxa"/>
            <w:bottom w:w="0" w:type="dxa"/>
            <w:right w:w="108" w:type="dxa"/>
          </w:tblCellMar>
        </w:tblPrEx>
        <w:trPr>
          <w:trHeight w:val="1286"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A8E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新中一街39号</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9DBA">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4384" behindDoc="0" locked="0" layoutInCell="1" allowOverlap="1">
                  <wp:simplePos x="0" y="0"/>
                  <wp:positionH relativeFrom="column">
                    <wp:posOffset>-35560</wp:posOffset>
                  </wp:positionH>
                  <wp:positionV relativeFrom="paragraph">
                    <wp:posOffset>68580</wp:posOffset>
                  </wp:positionV>
                  <wp:extent cx="1073785" cy="625475"/>
                  <wp:effectExtent l="0" t="0" r="8255" b="14605"/>
                  <wp:wrapNone/>
                  <wp:docPr id="3" name="图片_6"/>
                  <wp:cNvGraphicFramePr/>
                  <a:graphic xmlns:a="http://schemas.openxmlformats.org/drawingml/2006/main">
                    <a:graphicData uri="http://schemas.openxmlformats.org/drawingml/2006/picture">
                      <pic:pic xmlns:pic="http://schemas.openxmlformats.org/drawingml/2006/picture">
                        <pic:nvPicPr>
                          <pic:cNvPr id="3" name="图片_6"/>
                          <pic:cNvPicPr/>
                        </pic:nvPicPr>
                        <pic:blipFill>
                          <a:blip r:embed="rId13"/>
                          <a:stretch>
                            <a:fillRect/>
                          </a:stretch>
                        </pic:blipFill>
                        <pic:spPr>
                          <a:xfrm>
                            <a:off x="0" y="0"/>
                            <a:ext cx="1073785" cy="625475"/>
                          </a:xfrm>
                          <a:prstGeom prst="rect">
                            <a:avLst/>
                          </a:prstGeom>
                          <a:noFill/>
                          <a:ln>
                            <a:noFill/>
                          </a:ln>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D36A">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砖混结构1座2层，附属砖混房屋1座一层，厕所1间。</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8A76">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68.32</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9B7E">
            <w:pPr>
              <w:rPr>
                <w:rFonts w:ascii="仿宋" w:hAnsi="仿宋" w:eastAsia="仿宋" w:cs="仿宋"/>
                <w:color w:val="000000"/>
                <w:sz w:val="24"/>
              </w:rPr>
            </w:pPr>
          </w:p>
        </w:tc>
      </w:tr>
      <w:tr w14:paraId="5AF62CC5">
        <w:tblPrEx>
          <w:tblCellMar>
            <w:top w:w="0" w:type="dxa"/>
            <w:left w:w="108" w:type="dxa"/>
            <w:bottom w:w="0" w:type="dxa"/>
            <w:right w:w="108" w:type="dxa"/>
          </w:tblCellMar>
        </w:tblPrEx>
        <w:trPr>
          <w:trHeight w:val="552"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3E4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新中一街37号</w:t>
            </w:r>
          </w:p>
        </w:tc>
        <w:tc>
          <w:tcPr>
            <w:tcW w:w="19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3F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bdr w:val="single" w:color="000000" w:sz="4" w:space="0"/>
                <w:lang w:bidi="ar"/>
              </w:rPr>
              <w:drawing>
                <wp:anchor distT="0" distB="0" distL="114300" distR="114300" simplePos="0" relativeHeight="251665408" behindDoc="0" locked="0" layoutInCell="1" allowOverlap="1">
                  <wp:simplePos x="0" y="0"/>
                  <wp:positionH relativeFrom="column">
                    <wp:posOffset>-45720</wp:posOffset>
                  </wp:positionH>
                  <wp:positionV relativeFrom="paragraph">
                    <wp:posOffset>55880</wp:posOffset>
                  </wp:positionV>
                  <wp:extent cx="1129665" cy="628650"/>
                  <wp:effectExtent l="0" t="0" r="13335" b="11430"/>
                  <wp:wrapNone/>
                  <wp:docPr id="1" name="图片_7"/>
                  <wp:cNvGraphicFramePr/>
                  <a:graphic xmlns:a="http://schemas.openxmlformats.org/drawingml/2006/main">
                    <a:graphicData uri="http://schemas.openxmlformats.org/drawingml/2006/picture">
                      <pic:pic xmlns:pic="http://schemas.openxmlformats.org/drawingml/2006/picture">
                        <pic:nvPicPr>
                          <pic:cNvPr id="1" name="图片_7"/>
                          <pic:cNvPicPr/>
                        </pic:nvPicPr>
                        <pic:blipFill>
                          <a:blip r:embed="rId14"/>
                          <a:stretch>
                            <a:fillRect/>
                          </a:stretch>
                        </pic:blipFill>
                        <pic:spPr>
                          <a:xfrm>
                            <a:off x="0" y="0"/>
                            <a:ext cx="1129665" cy="628650"/>
                          </a:xfrm>
                          <a:prstGeom prst="rect">
                            <a:avLst/>
                          </a:prstGeom>
                          <a:noFill/>
                          <a:ln>
                            <a:noFill/>
                          </a:ln>
                        </pic:spPr>
                      </pic:pic>
                    </a:graphicData>
                  </a:graphic>
                </wp:anchor>
              </w:drawing>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2173">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砖瓦结构3座1层，厕所1间。</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2CC5">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94.3</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3BF0">
            <w:pPr>
              <w:rPr>
                <w:rFonts w:ascii="仿宋" w:hAnsi="仿宋" w:eastAsia="仿宋" w:cs="仿宋"/>
                <w:color w:val="000000"/>
                <w:sz w:val="24"/>
              </w:rPr>
            </w:pPr>
          </w:p>
        </w:tc>
      </w:tr>
      <w:tr w14:paraId="69B3114E">
        <w:tblPrEx>
          <w:tblCellMar>
            <w:top w:w="0" w:type="dxa"/>
            <w:left w:w="108" w:type="dxa"/>
            <w:bottom w:w="0" w:type="dxa"/>
            <w:right w:w="108" w:type="dxa"/>
          </w:tblCellMar>
        </w:tblPrEx>
        <w:trPr>
          <w:trHeight w:val="622" w:hRule="atLeast"/>
        </w:trPr>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5F7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新中一街37号之一</w:t>
            </w:r>
          </w:p>
        </w:tc>
        <w:tc>
          <w:tcPr>
            <w:tcW w:w="19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AF78">
            <w:pPr>
              <w:jc w:val="center"/>
              <w:rPr>
                <w:rFonts w:ascii="仿宋" w:hAnsi="仿宋" w:eastAsia="仿宋" w:cs="仿宋"/>
                <w:color w:val="000000"/>
                <w:sz w:val="24"/>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6FA0">
            <w:pPr>
              <w:jc w:val="left"/>
              <w:rPr>
                <w:rFonts w:ascii="仿宋" w:hAnsi="仿宋" w:eastAsia="仿宋" w:cs="仿宋"/>
                <w:color w:val="000000"/>
                <w:sz w:val="24"/>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2F94">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25.19</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3489">
            <w:pPr>
              <w:rPr>
                <w:rFonts w:ascii="仿宋" w:hAnsi="仿宋" w:eastAsia="仿宋" w:cs="仿宋"/>
                <w:color w:val="000000"/>
                <w:sz w:val="24"/>
              </w:rPr>
            </w:pPr>
          </w:p>
        </w:tc>
      </w:tr>
      <w:tr w14:paraId="17CEB7C3">
        <w:tblPrEx>
          <w:tblCellMar>
            <w:top w:w="0" w:type="dxa"/>
            <w:left w:w="108" w:type="dxa"/>
            <w:bottom w:w="0" w:type="dxa"/>
            <w:right w:w="108" w:type="dxa"/>
          </w:tblCellMar>
        </w:tblPrEx>
        <w:trPr>
          <w:trHeight w:val="668" w:hRule="atLeast"/>
        </w:trPr>
        <w:tc>
          <w:tcPr>
            <w:tcW w:w="909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2FBF">
            <w:pPr>
              <w:jc w:val="center"/>
              <w:rPr>
                <w:rFonts w:ascii="宋体" w:hAnsi="宋体" w:cs="宋体"/>
                <w:color w:val="000000"/>
                <w:sz w:val="22"/>
                <w:szCs w:val="22"/>
              </w:rPr>
            </w:pPr>
            <w:r>
              <w:rPr>
                <w:rFonts w:hint="eastAsia" w:ascii="宋体" w:hAnsi="宋体" w:cs="宋体"/>
                <w:b/>
                <w:bCs/>
                <w:color w:val="000000"/>
                <w:sz w:val="22"/>
                <w:szCs w:val="22"/>
              </w:rPr>
              <w:t>合计：</w:t>
            </w:r>
            <w:r>
              <w:rPr>
                <w:rFonts w:hint="eastAsia" w:ascii="宋体" w:hAnsi="宋体" w:cs="宋体"/>
                <w:b/>
                <w:bCs/>
                <w:color w:val="000000"/>
                <w:sz w:val="22"/>
                <w:szCs w:val="22"/>
                <w:lang w:val="en-US" w:eastAsia="zh-CN"/>
              </w:rPr>
              <w:t>1265.08</w:t>
            </w:r>
            <w:r>
              <w:rPr>
                <w:rFonts w:hint="eastAsia" w:ascii="宋体" w:hAnsi="宋体" w:cs="宋体"/>
                <w:b/>
                <w:bCs/>
                <w:color w:val="000000"/>
                <w:sz w:val="22"/>
                <w:szCs w:val="22"/>
              </w:rPr>
              <w:t>㎡</w:t>
            </w:r>
          </w:p>
        </w:tc>
      </w:tr>
    </w:tbl>
    <w:p w14:paraId="706C739A"/>
    <w:sectPr>
      <w:headerReference r:id="rId3" w:type="default"/>
      <w:footerReference r:id="rId4" w:type="default"/>
      <w:pgSz w:w="11906" w:h="16838"/>
      <w:pgMar w:top="1246" w:right="1286" w:bottom="1246"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A60ED">
    <w:pPr>
      <w:pStyle w:val="5"/>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14:paraId="2C1537DE">
    <w:pPr>
      <w:pStyle w:val="5"/>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C2963">
    <w:pPr>
      <w:pStyle w:val="6"/>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D2AE36"/>
    <w:multiLevelType w:val="singleLevel"/>
    <w:tmpl w:val="A0D2AE36"/>
    <w:lvl w:ilvl="0" w:tentative="0">
      <w:start w:val="1"/>
      <w:numFmt w:val="decimal"/>
      <w:suff w:val="nothing"/>
      <w:lvlText w:val="（%1）"/>
      <w:lvlJc w:val="left"/>
    </w:lvl>
  </w:abstractNum>
  <w:abstractNum w:abstractNumId="1">
    <w:nsid w:val="BD1FA3C9"/>
    <w:multiLevelType w:val="singleLevel"/>
    <w:tmpl w:val="BD1FA3C9"/>
    <w:lvl w:ilvl="0" w:tentative="0">
      <w:start w:val="1"/>
      <w:numFmt w:val="chineseCounting"/>
      <w:suff w:val="nothing"/>
      <w:lvlText w:val="（%1）"/>
      <w:lvlJc w:val="left"/>
      <w:rPr>
        <w:rFonts w:hint="eastAsia"/>
      </w:rPr>
    </w:lvl>
  </w:abstractNum>
  <w:abstractNum w:abstractNumId="2">
    <w:nsid w:val="35B102D8"/>
    <w:multiLevelType w:val="multilevel"/>
    <w:tmpl w:val="35B102D8"/>
    <w:lvl w:ilvl="0" w:tentative="0">
      <w:start w:val="1"/>
      <w:numFmt w:val="japaneseCounting"/>
      <w:lvlText w:val="第%1条"/>
      <w:lvlJc w:val="left"/>
      <w:pPr>
        <w:tabs>
          <w:tab w:val="left" w:pos="1125"/>
        </w:tabs>
        <w:ind w:left="1125" w:hanging="1125"/>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DFB4071"/>
    <w:multiLevelType w:val="multilevel"/>
    <w:tmpl w:val="5DFB4071"/>
    <w:lvl w:ilvl="0" w:tentative="0">
      <w:start w:val="6"/>
      <w:numFmt w:val="japaneseCounting"/>
      <w:lvlText w:val="第%1条"/>
      <w:lvlJc w:val="left"/>
      <w:pPr>
        <w:tabs>
          <w:tab w:val="left" w:pos="1440"/>
        </w:tabs>
        <w:ind w:left="1440" w:hanging="960"/>
      </w:pPr>
      <w:rPr>
        <w:rFonts w:hint="default"/>
        <w:b/>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70203F62"/>
    <w:multiLevelType w:val="multilevel"/>
    <w:tmpl w:val="70203F62"/>
    <w:lvl w:ilvl="0" w:tentative="0">
      <w:start w:val="1"/>
      <w:numFmt w:val="japaneseCounting"/>
      <w:lvlText w:val="第%1条"/>
      <w:lvlJc w:val="left"/>
      <w:pPr>
        <w:tabs>
          <w:tab w:val="left" w:pos="1440"/>
        </w:tabs>
        <w:ind w:left="1440" w:hanging="9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AF6765"/>
    <w:rsid w:val="000009FB"/>
    <w:rsid w:val="00002D53"/>
    <w:rsid w:val="000127CE"/>
    <w:rsid w:val="000531BD"/>
    <w:rsid w:val="000663BA"/>
    <w:rsid w:val="00094F6C"/>
    <w:rsid w:val="00095EBF"/>
    <w:rsid w:val="00131B64"/>
    <w:rsid w:val="001448C6"/>
    <w:rsid w:val="00147FE3"/>
    <w:rsid w:val="001521CA"/>
    <w:rsid w:val="0016384E"/>
    <w:rsid w:val="00175EC6"/>
    <w:rsid w:val="00175EE9"/>
    <w:rsid w:val="001A2487"/>
    <w:rsid w:val="001B5AC5"/>
    <w:rsid w:val="001C6B50"/>
    <w:rsid w:val="001E5569"/>
    <w:rsid w:val="001E55B8"/>
    <w:rsid w:val="00216773"/>
    <w:rsid w:val="00257046"/>
    <w:rsid w:val="00264442"/>
    <w:rsid w:val="002727BE"/>
    <w:rsid w:val="0027399F"/>
    <w:rsid w:val="002910F3"/>
    <w:rsid w:val="002C03BE"/>
    <w:rsid w:val="0030201D"/>
    <w:rsid w:val="00371DDF"/>
    <w:rsid w:val="0038759E"/>
    <w:rsid w:val="003956AA"/>
    <w:rsid w:val="003C4596"/>
    <w:rsid w:val="003D3631"/>
    <w:rsid w:val="00470EC8"/>
    <w:rsid w:val="00490574"/>
    <w:rsid w:val="004935E2"/>
    <w:rsid w:val="004B1E10"/>
    <w:rsid w:val="004C3E81"/>
    <w:rsid w:val="004C5167"/>
    <w:rsid w:val="004C7BF7"/>
    <w:rsid w:val="004E19B9"/>
    <w:rsid w:val="00506EC4"/>
    <w:rsid w:val="005661E1"/>
    <w:rsid w:val="00581AD1"/>
    <w:rsid w:val="00587A98"/>
    <w:rsid w:val="005945C4"/>
    <w:rsid w:val="005A4FF8"/>
    <w:rsid w:val="005E06F6"/>
    <w:rsid w:val="005F0030"/>
    <w:rsid w:val="006029DE"/>
    <w:rsid w:val="00633D27"/>
    <w:rsid w:val="006418CC"/>
    <w:rsid w:val="00676F5D"/>
    <w:rsid w:val="006A37AB"/>
    <w:rsid w:val="006B5885"/>
    <w:rsid w:val="007200C4"/>
    <w:rsid w:val="00740843"/>
    <w:rsid w:val="00780B31"/>
    <w:rsid w:val="00781629"/>
    <w:rsid w:val="007A0E32"/>
    <w:rsid w:val="007A24DA"/>
    <w:rsid w:val="00846630"/>
    <w:rsid w:val="0084741C"/>
    <w:rsid w:val="00870331"/>
    <w:rsid w:val="00873A85"/>
    <w:rsid w:val="00875D2B"/>
    <w:rsid w:val="00890720"/>
    <w:rsid w:val="00896674"/>
    <w:rsid w:val="008C4377"/>
    <w:rsid w:val="008E34C5"/>
    <w:rsid w:val="009371F6"/>
    <w:rsid w:val="009453D3"/>
    <w:rsid w:val="00950D15"/>
    <w:rsid w:val="00952BE3"/>
    <w:rsid w:val="009A5CFD"/>
    <w:rsid w:val="009D0766"/>
    <w:rsid w:val="009E288A"/>
    <w:rsid w:val="009F778C"/>
    <w:rsid w:val="00A033C4"/>
    <w:rsid w:val="00A104BC"/>
    <w:rsid w:val="00A207FF"/>
    <w:rsid w:val="00A23E69"/>
    <w:rsid w:val="00A31617"/>
    <w:rsid w:val="00A57E95"/>
    <w:rsid w:val="00A76BD4"/>
    <w:rsid w:val="00A83D07"/>
    <w:rsid w:val="00AC2CEB"/>
    <w:rsid w:val="00AC4679"/>
    <w:rsid w:val="00AE7508"/>
    <w:rsid w:val="00AF4671"/>
    <w:rsid w:val="00AF6765"/>
    <w:rsid w:val="00B17935"/>
    <w:rsid w:val="00B23698"/>
    <w:rsid w:val="00B37BA2"/>
    <w:rsid w:val="00B74338"/>
    <w:rsid w:val="00B86E99"/>
    <w:rsid w:val="00B96834"/>
    <w:rsid w:val="00BB2D6F"/>
    <w:rsid w:val="00BE3B31"/>
    <w:rsid w:val="00BF78A9"/>
    <w:rsid w:val="00C405AE"/>
    <w:rsid w:val="00C535A5"/>
    <w:rsid w:val="00C7351F"/>
    <w:rsid w:val="00C8315F"/>
    <w:rsid w:val="00CA2446"/>
    <w:rsid w:val="00CC192F"/>
    <w:rsid w:val="00CC384B"/>
    <w:rsid w:val="00D331C8"/>
    <w:rsid w:val="00D36AC5"/>
    <w:rsid w:val="00D36D84"/>
    <w:rsid w:val="00D43864"/>
    <w:rsid w:val="00D50C2A"/>
    <w:rsid w:val="00D52079"/>
    <w:rsid w:val="00D57C0E"/>
    <w:rsid w:val="00D636F8"/>
    <w:rsid w:val="00E6715E"/>
    <w:rsid w:val="00EA49FC"/>
    <w:rsid w:val="00EB4C98"/>
    <w:rsid w:val="00EC768E"/>
    <w:rsid w:val="00EF3BDE"/>
    <w:rsid w:val="00F144B3"/>
    <w:rsid w:val="00F418E3"/>
    <w:rsid w:val="00F5447C"/>
    <w:rsid w:val="00FD25B1"/>
    <w:rsid w:val="00FF67F1"/>
    <w:rsid w:val="02DE4054"/>
    <w:rsid w:val="04A40A52"/>
    <w:rsid w:val="0625590F"/>
    <w:rsid w:val="08E22F91"/>
    <w:rsid w:val="09CB4CD3"/>
    <w:rsid w:val="0BBE75D4"/>
    <w:rsid w:val="0CC8516C"/>
    <w:rsid w:val="0CCB7F04"/>
    <w:rsid w:val="0D3817EE"/>
    <w:rsid w:val="0D7F3E0A"/>
    <w:rsid w:val="0D8C7D81"/>
    <w:rsid w:val="105401D0"/>
    <w:rsid w:val="12D1658C"/>
    <w:rsid w:val="13A20852"/>
    <w:rsid w:val="13D86969"/>
    <w:rsid w:val="15170610"/>
    <w:rsid w:val="165E4F6A"/>
    <w:rsid w:val="167100F6"/>
    <w:rsid w:val="192D5A86"/>
    <w:rsid w:val="1A353970"/>
    <w:rsid w:val="1B1F3FA3"/>
    <w:rsid w:val="1DDD0915"/>
    <w:rsid w:val="233D40F4"/>
    <w:rsid w:val="24251499"/>
    <w:rsid w:val="26BF5C46"/>
    <w:rsid w:val="277B0A1C"/>
    <w:rsid w:val="295108F9"/>
    <w:rsid w:val="2AC83C3E"/>
    <w:rsid w:val="2B1A7E24"/>
    <w:rsid w:val="2D2B1E17"/>
    <w:rsid w:val="2D7C5CCD"/>
    <w:rsid w:val="2E9C5D0B"/>
    <w:rsid w:val="339935C8"/>
    <w:rsid w:val="381C0324"/>
    <w:rsid w:val="393F638C"/>
    <w:rsid w:val="3B534099"/>
    <w:rsid w:val="3B8435CF"/>
    <w:rsid w:val="3DA33A80"/>
    <w:rsid w:val="43E34DF6"/>
    <w:rsid w:val="44D06C41"/>
    <w:rsid w:val="48482A6F"/>
    <w:rsid w:val="493C10A1"/>
    <w:rsid w:val="4B323F83"/>
    <w:rsid w:val="4F25336E"/>
    <w:rsid w:val="4F9548F2"/>
    <w:rsid w:val="4FD21B42"/>
    <w:rsid w:val="51823496"/>
    <w:rsid w:val="527D1229"/>
    <w:rsid w:val="52A36E14"/>
    <w:rsid w:val="52E15F9A"/>
    <w:rsid w:val="54B971CF"/>
    <w:rsid w:val="54F82A3E"/>
    <w:rsid w:val="55AA4D69"/>
    <w:rsid w:val="57E00083"/>
    <w:rsid w:val="5801250E"/>
    <w:rsid w:val="59C32B9C"/>
    <w:rsid w:val="59E04D6B"/>
    <w:rsid w:val="5B5E1779"/>
    <w:rsid w:val="5E5A5D9F"/>
    <w:rsid w:val="605900CF"/>
    <w:rsid w:val="61000556"/>
    <w:rsid w:val="64AD3F2E"/>
    <w:rsid w:val="67D63753"/>
    <w:rsid w:val="69C441F4"/>
    <w:rsid w:val="6AA858C3"/>
    <w:rsid w:val="6C183B5F"/>
    <w:rsid w:val="6C9227D7"/>
    <w:rsid w:val="6E9826CB"/>
    <w:rsid w:val="70E833B6"/>
    <w:rsid w:val="711E33A9"/>
    <w:rsid w:val="727F3267"/>
    <w:rsid w:val="72C6170C"/>
    <w:rsid w:val="730B23C0"/>
    <w:rsid w:val="746703D5"/>
    <w:rsid w:val="74BC1F30"/>
    <w:rsid w:val="74CD0638"/>
    <w:rsid w:val="778D1AD8"/>
    <w:rsid w:val="791800B8"/>
    <w:rsid w:val="7C142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annotation text"/>
    <w:basedOn w:val="1"/>
    <w:link w:val="20"/>
    <w:semiHidden/>
    <w:unhideWhenUsed/>
    <w:qFormat/>
    <w:uiPriority w:val="99"/>
    <w:pPr>
      <w:jc w:val="left"/>
    </w:pPr>
  </w:style>
  <w:style w:type="paragraph" w:styleId="4">
    <w:name w:val="Body Text Indent"/>
    <w:basedOn w:val="1"/>
    <w:qFormat/>
    <w:uiPriority w:val="0"/>
    <w:pPr>
      <w:spacing w:after="120"/>
      <w:ind w:left="420" w:leftChars="200"/>
    </w:p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8">
    <w:name w:val="annotation subject"/>
    <w:basedOn w:val="3"/>
    <w:next w:val="3"/>
    <w:link w:val="21"/>
    <w:semiHidden/>
    <w:unhideWhenUsed/>
    <w:qFormat/>
    <w:uiPriority w:val="99"/>
    <w:rPr>
      <w:b/>
      <w:bCs/>
    </w:rPr>
  </w:style>
  <w:style w:type="paragraph" w:styleId="9">
    <w:name w:val="Body Text First Indent 2"/>
    <w:basedOn w:val="4"/>
    <w:autoRedefine/>
    <w:qFormat/>
    <w:uiPriority w:val="0"/>
    <w:pPr>
      <w:ind w:firstLine="640"/>
    </w:pPr>
    <w:rPr>
      <w:rFonts w:ascii="宋体" w:hAnsi="宋体"/>
      <w:sz w:val="24"/>
      <w:szCs w:val="30"/>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page number"/>
    <w:basedOn w:val="12"/>
    <w:autoRedefine/>
    <w:unhideWhenUsed/>
    <w:qFormat/>
    <w:uiPriority w:val="99"/>
  </w:style>
  <w:style w:type="character" w:styleId="15">
    <w:name w:val="annotation reference"/>
    <w:basedOn w:val="12"/>
    <w:semiHidden/>
    <w:unhideWhenUsed/>
    <w:qFormat/>
    <w:uiPriority w:val="99"/>
    <w:rPr>
      <w:sz w:val="21"/>
      <w:szCs w:val="21"/>
    </w:rPr>
  </w:style>
  <w:style w:type="character" w:customStyle="1" w:styleId="16">
    <w:name w:val="页眉 字符"/>
    <w:basedOn w:val="12"/>
    <w:link w:val="6"/>
    <w:qFormat/>
    <w:uiPriority w:val="99"/>
    <w:rPr>
      <w:sz w:val="18"/>
      <w:szCs w:val="18"/>
    </w:rPr>
  </w:style>
  <w:style w:type="character" w:customStyle="1" w:styleId="17">
    <w:name w:val="页脚 字符"/>
    <w:basedOn w:val="12"/>
    <w:link w:val="5"/>
    <w:qFormat/>
    <w:uiPriority w:val="99"/>
    <w:rPr>
      <w:sz w:val="18"/>
      <w:szCs w:val="18"/>
    </w:rPr>
  </w:style>
  <w:style w:type="character" w:customStyle="1" w:styleId="18">
    <w:name w:val="页脚 字符1"/>
    <w:qFormat/>
    <w:uiPriority w:val="0"/>
    <w:rPr>
      <w:rFonts w:ascii="Times New Roman" w:hAnsi="Times New Roman" w:eastAsia="宋体" w:cs="Times New Roman"/>
      <w:sz w:val="18"/>
      <w:szCs w:val="18"/>
    </w:rPr>
  </w:style>
  <w:style w:type="character" w:customStyle="1" w:styleId="19">
    <w:name w:val="utrlprice"/>
    <w:basedOn w:val="12"/>
    <w:qFormat/>
    <w:uiPriority w:val="0"/>
  </w:style>
  <w:style w:type="character" w:customStyle="1" w:styleId="20">
    <w:name w:val="批注文字 字符"/>
    <w:basedOn w:val="12"/>
    <w:link w:val="3"/>
    <w:semiHidden/>
    <w:qFormat/>
    <w:uiPriority w:val="99"/>
    <w:rPr>
      <w:kern w:val="2"/>
      <w:sz w:val="21"/>
      <w:szCs w:val="24"/>
    </w:rPr>
  </w:style>
  <w:style w:type="character" w:customStyle="1" w:styleId="21">
    <w:name w:val="批注主题 字符"/>
    <w:basedOn w:val="20"/>
    <w:link w:val="8"/>
    <w:semiHidden/>
    <w:qFormat/>
    <w:uiPriority w:val="99"/>
    <w:rPr>
      <w:b/>
      <w:bCs/>
      <w:kern w:val="2"/>
      <w:sz w:val="21"/>
      <w:szCs w:val="24"/>
    </w:r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10847</Words>
  <Characters>11171</Characters>
  <Lines>124</Lines>
  <Paragraphs>35</Paragraphs>
  <TotalTime>1</TotalTime>
  <ScaleCrop>false</ScaleCrop>
  <LinksUpToDate>false</LinksUpToDate>
  <CharactersWithSpaces>11675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2025-09-25T05:30:00Z</dcterms:created>
  <dc:creator>Kwok Marcos</dc:creator>
  <cp:lastModifiedBy>旅游公司办文</cp:lastModifiedBy>
  <cp:lastPrinted>2022-06-20T01:24:00Z</cp:lastPrinted>
  <dcterms:modified xsi:type="dcterms:W3CDTF">2026-10-09T03:13:28Z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8074F83D69644E53955D12149CDC16BB_13</vt:lpwstr>
  </property>
  <property fmtid="{D5CDD505-2E9C-101B-9397-08002B2CF9AE}" pid="4" name="KSOTemplateDocerSaveRecord">
    <vt:lpwstr>eyJoZGlkIjoiYzJjNmNkNjE5YTdkNDZlOWU1ZGJmZGE0ZWY4NTY4ZTQiLCJ1c2VySWQiOiIxODg4ODI2OTM1In0=</vt:lpwstr>
  </property>
</Properties>
</file>