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安全生产管理协议书</w:t>
      </w:r>
    </w:p>
    <w:p>
      <w:pPr>
        <w:rPr>
          <w:rFonts w:ascii="仿宋_GB2312" w:hAnsi="仿宋_GB2312" w:eastAsia="仿宋_GB2312" w:cs="仿宋_GB2312"/>
          <w:szCs w:val="21"/>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甲</w:t>
      </w:r>
      <w:r>
        <w:rPr>
          <w:rFonts w:hint="eastAsia" w:ascii="仿宋_GB2312" w:hAnsi="仿宋_GB2312" w:eastAsia="仿宋_GB2312" w:cs="仿宋_GB2312"/>
          <w:color w:val="000000" w:themeColor="text1"/>
          <w:sz w:val="32"/>
          <w:szCs w:val="32"/>
          <w14:textFill>
            <w14:solidFill>
              <w14:schemeClr w14:val="tx1"/>
            </w14:solidFill>
          </w14:textFill>
        </w:rPr>
        <w:t>方（出租人):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佛山建发智慧城市科技有限公司</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佛山市禅城区石湾镇街道影荫路6号汇通大厦四楼402室(住所申报)          </w:t>
      </w:r>
      <w:bookmarkStart w:id="0" w:name="_GoBack"/>
      <w:bookmarkEnd w:id="0"/>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14:textFill>
            <w14:solidFill>
              <w14:schemeClr w14:val="tx1"/>
            </w14:solidFill>
          </w14:textFill>
        </w:rPr>
        <w:t>0757-</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63503823</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乙方（承租人):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认真贯彻落实《中华人民共和国安全生产法》和《中华人民共和国消防法》等法律法规，坚持“安全第一、预防为主”的方针，依照“谁使用，谁负责”的管理原则，保障甲、乙双方的合法权益，明确甲、乙双方的安全管理责任，经协商一致，特制定如下安全管理协议，以资双方共同遵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根据“谁使用、谁负责”的安全责任原则，乙方在使用租赁的物业期间全权负责承租的土地及房屋建筑物等物业空间范围内的人、财、物的安全责任。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本协议依据的法律法规如下: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（一）《中华人民共和国安全生产法》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（二）《中华人民共和国消防法》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（三）《中华人民共和国民法典》</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（四）《中华人民共和国职业病防治法》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（五）《中华人民共和国环境保护法》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（六）《广东省安全生产条例》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（七）其它相关法律法规、国家标准或行业标准，以及地方政府有关规定。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照上述法律、法规、标准及规定，为了加强租赁物业安全生产管理工作，落实安全责任主体，防止和减少事故发生，保障甲乙双方人身及财产安全，共建安全文明的经营环境，甲乙双方经友好协商，共同签署本协议书，以兹共同遵照执行。</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  协议适用范围</w:t>
      </w:r>
    </w:p>
    <w:p>
      <w:pPr>
        <w:ind w:firstLine="640" w:firstLineChars="2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本协议适用范围为甲乙双方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日签订的《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》（下称：租赁合同）所约定的位于</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的出租物业，物业名称为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，建筑面积</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平方米。</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  协议期限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本协议自</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日起至</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日止(与租赁合同期限一致)，</w:t>
      </w:r>
      <w:r>
        <w:rPr>
          <w:rFonts w:hint="eastAsia" w:ascii="仿宋_GB2312" w:hAnsi="仿宋_GB2312" w:eastAsia="仿宋_GB2312" w:cs="仿宋_GB2312"/>
          <w:color w:val="000000" w:themeColor="text1"/>
          <w:sz w:val="32"/>
          <w:szCs w:val="32"/>
          <w:highlight w:val="none"/>
          <w14:textFill>
            <w14:solidFill>
              <w14:schemeClr w14:val="tx1"/>
            </w14:solidFill>
          </w14:textFill>
        </w:rPr>
        <w:t>若租赁期限到期后，乙方未搬离租赁物业的，乙方仍需按本协议约定承担一切安全责任。</w:t>
      </w:r>
    </w:p>
    <w:p>
      <w:pPr>
        <w:ind w:left="638" w:leftChars="304"/>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  租赁限制与安全使用条件</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租赁物业只能用作依法生产经营用途，不得从事租赁合同约定的使用范围以外的活动。租赁期间，乙方如因使用情况需要改变用途，应以不损坏原租赁物业结构为前提，事前以书面形式向甲方提出，经甲方书面同意后方能施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（二）甲方以物业现状作为出租和交付的条件，乙方完全接受且不存在任何异议。</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（三）乙方如需进行合理的装修，需经甲方书面同意。合同终止、或提前终止后，乙方对租赁物业所投入的装修归甲方所有，租赁合同另有约定的除外。</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（四）乙方不得私自在租赁物业擅自引入、存放及生产以下物品：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（1）危险品（包括：易燃、易爆、腐蚀、有毒、有害的物品）；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（2）容易造成环境污染的物品；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（3）一切违禁物品。</w:t>
      </w:r>
    </w:p>
    <w:p>
      <w:pPr>
        <w:ind w:firstLine="640" w:firstLineChars="2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（五）甲方签订本协议前必须严格核实乙方生产经营资质（如签订协议时乙方尚未取得经营资质，乙方应在取得经营资质后5个工作日内，提交甲方查验)，乙方承诺只将承租物业用于</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用途。</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如乙方因经营需要，经国家相关部门的批准及甲方的书面同意，乙方可以使用和贮存危险物品，但应符合国家标准和国家有关规定，并有健全的安全生产管理制度，并将有关批文（证照）原件向甲方出示，并在复印件上加盖公章向甲方报备存档。</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乙方经营中如需使用电梯、吊车、修车专用设备等特种设备的，应严格贯彻执行国家及有关部门关于特种设备安全的法律、法规和安全技术规范、规程等，建立特种设备管理制度，根据安全生产责任制，做好特种设备安全工作，加强对特种设备、特种作业人员的管理、登记存档工作，并定期组织岗位技能培训，防范安全隐患，并做好定期年审工作，将有效的年审报告复印件（加盖公章）向甲方报备存档。</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  乙方安全生产责任人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乙方对承租范围内租赁物业的一切安全责任负责。乙方的法定代表人或主要经营管理者是安全生产第一责任人。乙方应当为从业人员提供符合安全生产要求的劳动保护用品与职业病防治管理等工作。</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  甲方的权利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甲方有按照法规要求的统一协调管理和督促检查权利，在执行该项权责时，甲方拥有但不限于以下权利: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（一）有权进入乙方生产作业场所检查安全生产工作，调阅安全生产相关资料台账。</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乙方如存在安全隐患或者超范围经营、违章作业、冒险作业等安全生产违法行为，甲方有权要求乙方当场纠正或者限期整改；在乙方排除安全隐患或者纠正违法行为过程中，甲方认为无法保证安全的，有权要求乙方从危险区域内撤出作业人员，或者责成乙方暂时停产、停业、停止使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在无正当的理由情况下不能按甲方要求完成整改，或存在严重安全隐患或者超范围经营、违章作业、冒险作业等安全生产违法行为，拒不整改的，为防止发生安全事故，或者已经发生事故为避免产生进一步危害，甲方有权采取以下措施，因此所引起的一切后果均由乙方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1、向当地公安、消防、安监、市监、环保、街道办等政府主管部门举报;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2、对乙方承租物业采取停水、停电等措施以强制停止乙方危险使用物业的活动；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3、单方终止物业租赁合同或按本协议规定要求乙方承担相应的违约金。</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（四）职业健康、环保安全管理的权利事项：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甲方应在物业出租时向乙方进行职业病危害告知，提出职业病防治管理要求，并对乙方实施情况进行监督检查。有权进入乙方生产作业场所检查环境/职业健康安全生产工作、调阅有关资料，向有关单位和人员了解情况。</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2、甲方有权对检查中发现的污染环境、职业健康管理、违章、冒险作业等安全生产违法行为，及时提出整改意见，督促乙方进行整改。</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3、甲方有权对检查中发现的安全隐患，责令乙方立即排除或者对乙方下达整改意见。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4、有权对乙方在甲方管理范围的访问、交流活动中可能会对甲方产生环境/职业健康安全影响的行为进行监督。</w:t>
      </w:r>
    </w:p>
    <w:p>
      <w:pPr>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  甲方的责任与义务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（一）自有或代管的同一出租物业内有多个承租人的，按照《中华人民共和国安全生产法》有关规定，对乙方及相关方安全生产工作进行统一协调管理，定期进行安全检查，发现安全问题的，应当及时督促整改。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安全检查中发现的问题及整改意见，或当地公安、消防、安监、市监、环保、卫生监督、街道办等政府主管部门有关安全生产的要求，及时以安全隐患整改通知书的书面形式通知乙方，督促乙方实施整改。</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第七条  乙方的权利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有权依法自主进行安全生产管理工作。</w:t>
      </w:r>
    </w:p>
    <w:p>
      <w:pPr>
        <w:ind w:left="2" w:right="-153" w:rightChars="-73" w:firstLine="643"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第八条  </w:t>
      </w:r>
      <w:r>
        <w:rPr>
          <w:rFonts w:hint="eastAsia" w:ascii="仿宋_GB2312" w:hAnsi="仿宋_GB2312" w:eastAsia="仿宋_GB2312" w:cs="仿宋_GB2312"/>
          <w:b/>
          <w:color w:val="000000" w:themeColor="text1"/>
          <w:sz w:val="32"/>
          <w:szCs w:val="32"/>
          <w14:textFill>
            <w14:solidFill>
              <w14:schemeClr w14:val="tx1"/>
            </w14:solidFill>
          </w14:textFill>
        </w:rPr>
        <w:t>乙方安全生产目标</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1、死亡事故为零。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2、人身伤害事故为零。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3、火灾事故为零。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4、重大设备设施事故为零。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5、重大质量事故为零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6、食品安全事故为零。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7、杜绝“三合一”隐患。</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第九条  乙方的责任与义务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乙方应具备《安全生产法》和国家有关法律法规、国家标准或者行业标准与法规，以及地方政府规定的安全生产条件和相应资质，承担安全生产(包括消防安全管理)主体责任，不具备安全生产条件的，应停产停业整顿。</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（二）乙方主要负责人对本单位安全生产工作应当履行《中华人民共和国安全生产法》第十八条规定的下列职责: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1、建立，健全本单位安全生产责任制；</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2、组织制定本单位安全生产规章制度和操作规程；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3、组织制定并实施本单位安全生产教育和培训计划;</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4、保证本单位安全生产投入的有效实施;</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5、督促、检查本单位安全生产工作，及时消除生产安全事故隐患；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6、组织制定并实施本单位的生产安全事故应急救援预案;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7、及时、如实向政府有关部门及甲方报告生产安全事故。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（三）乙方应当建立健全生产安全事故隐患排查治理制度，采取技术，管理措施，及时发现并消除事故隐患。事故隐患排查治理情况应当如实记录，并向从业人员通报。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（四）乙方应指定人员作为本企业（单位）的主要安全负责人和安全管理员，且必须持证上岗；企业规模达到相关法规要求的，应设置符合要求的安全管理机构。</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乙方应当保证安全生产所必需的资金投入，包括用于建设项目安全设置、消除安全隐患、治理有害作业环境、配备劳动防护用品、进行安全生产培训等方面用途，并对因安全生产资金投入不足导致的后果承担全部法律和经济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乙方应对所承租物业（包括物业内附设的设备、设施）进行定期维护保养，若因维护保养不及时，使用不当，管理不到位等原因造成不良后果，相关责任由乙方自行承担；乙方开展经营活动或对承租物业进行改造(改建或扩建)、装修、修繕，在改建时严禁未经甲方书面同意私自乱接电线，私自改造水管、不得擅自改变、破坏原建筑承重构件；不得擅自减少安全出口数量和总宽度；不得封堵逃生窗；不得违规搭建等。</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有关规定须取得规划、建设、施工等批文的，乙方应在施工前取得相应批文；按照有关规定应取得消防验收或备案手续的，乙方必须在(试)营业、使用前取得相应批文，并将相关报备回执、验收合格证与关于消防验收等消防资料复印（加盖公章）甲方存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租赁物业只能由乙方使用，未经甲方书面同意，不能擅自转租、转借或转让他人；如果乙方未经甲方书面同意，而擅自转租、转借或转让给他人，由此产生的安全责任由乙方自行承担。此外，如果甲方经书面同意乙方对承租物业进行转租、转借或转让给他人的，乙方应与次承租人签订安全生产管理协议，落实各自的安全生产责任。有关安全生产管理协议，应在签订后5个工作日内送交甲方备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（八）经甲方同意，乙方对承租物业进行下列活动，应当满足相应安全生产要求:</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1、对承租物业进行装修或修缮的，应确保工程符合国家建筑安全法律法规和行业标准，不得损害建筑主体结构安全，建筑构件.建筑材料和室内装修、装饰材料的防火性能必须符合国家和行业标准。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2.在承租物业内进行临时搭建工程的，不得占用物业防火间距、消防通道、消防车作业场地，不得设置影响消防扑救或遮挡排烟窗(口)的架空管线，广告牌等障碍物。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临时占用、挖掘承租物业内道路、场地的，应在约定期限内恢复原状，并对施工过程、现场防护、材料堆放等安全生产工作承担全部管理责任；因维修物业或者公共利益，甲方需临时占用、挖掘乙方承租区域道路、场地的，乙方应无条件配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（九）乙方在承租物业期间，不得有下列违反安全生产要求的情况，否则视为乙方违约，甲方有权采取停水、停电、等限期整改措施或扣除相应违约金，情节严重的可单方终止租赁合同的权利：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1、将作业场所、仓库与员工宿舍安排在同一座建筑物内，且安全距离不足，存在“二合一”或“三合一”(指住宿与生产、仓储、经营在同一空间内)现象；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2、在物业内放置超过设计荷载的物品或者进行其他影响物业结构安全的活动;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3.不按规定设置应急照明装置和安全出口标志，封闭、堵塞租赁物业安全出口及疏散逃生楼梯;</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4、不按规定健全完善物业消防设施设备以及维护其正常使用，未按期检测、维护保养并作好记录，未配备足够的消防器材；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5、不按规定健全完善物业电气设施设备以及维护其正常使用，超负荷使用大功率电器与其他国家明令淘汰的产品;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6.违法违规在物业内生产、储存、使用、经营危险化学品;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7、安装、使用无生产合格证或者未经有关部门检验检测的特种设备；所使用的特种设备需按规定进行定期检测和维护保养；安排未经安全生产教育、培训并取得相应资格证书的从业人员进行特种作业；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8、不得在生产经营场所违规动用明火，不得在生产经营场所及其他禁烟场所吸烟；</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9、不得在承租物业室内（包括楼梯间、走道等）停放及充电自行车、电瓶车等;</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10、不得擅自改变承租物业用途;</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11、安全检查、安全生产条件审核中现场发现有违章指挥、违章作业、违反劳动纪律的行为;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12、违反安全生产法律法规的其它行为。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（十）乙方若因本身的疏忽导致水、气、烟或其他有关物体外溢，损害他人或其财产，则乙方须承担因此而产生的所有诉讼、索赔和要求等后果，由此造成甲方损失的，应对甲方承担赔偿责任。</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一）乙方经营中如需使用汽油、酒精、氧气瓶、乙炔罐等易燃易爆物品的，应建立易燃易爆物品管理制度，易燃易爆物品贮存使用要符合消防要求，并有专用储存仓库或设施进行存储。贮存区要设置明确的标识，严禁一切烟火，并配足灭火器。</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（十二）乙方发生安全事故，必须如实向甲方或有关安监部门报告相关情况，接受安全生产上级行政主管部门的检查、监督与指导，切实做好安全生产工作，杜绝事故发生。</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（十三）乙方应按甲方要求参与安全生产事故的应急处理与救援预案并定期演练。</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四）乙方应按照国家相关法律法规、国家标准或者行业标准以及地方政府有关规定做好安全生产管理工作，自觉接受并积极配合甲方以及政府有关职能部门进行安全生产监督检查，不得以任何理由拒绝，阻挠，并在租赁期间，乙方保证甲方及租赁物业的物业管理公司安全管理人员可进入租赁物业检查安全生产情况及安全设施，调阅有关资料，向乙方和乙方人员了解情况，有权对检查中发现的事故隐患，有权责令乙方立即排除或者对乙方下达安全隐患整改通知书，乙方必须在规定期限内整改完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五）乙方应当教育和督促从业人员严格执行本单位的安会生产规章制度和安全操作规程，向新上岗或工种转换的从业人员如实告知作业场所和工作岗位存在的危险因素、可能产生的职业病危害及其后果，并组织进行相应的宣传、教育、培训和应急演练，并记录归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（十六）乙方应按照国家法律法规及地方政府有关规定，及时向甲方提供有关安全生产数据、资料，并保证其真实可靠。</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（十七）乙方应加强对到访的外来人员、外来施工单位的管理。如在发生突发（危急）事故有义务全力抢险救灾，并立即拨打相关求救电话（“110”报警电话、“119”火警电话、有人员伤亡拨打“120”</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医疗救护电话</w:t>
      </w:r>
      <w:r>
        <w:rPr>
          <w:rFonts w:hint="eastAsia" w:ascii="仿宋_GB2312" w:hAnsi="仿宋_GB2312" w:eastAsia="仿宋_GB2312" w:cs="仿宋_GB2312"/>
          <w:color w:val="000000" w:themeColor="text1"/>
          <w:sz w:val="32"/>
          <w:szCs w:val="32"/>
          <w14:textFill>
            <w14:solidFill>
              <w14:schemeClr w14:val="tx1"/>
            </w14:solidFill>
          </w14:textFill>
        </w:rPr>
        <w:t>），在以上拨打求救电话的同时也需及时与甲方安管人员进行汇报现场实时情况。</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八）乙方负责对承租范围内的消防设备设施（包括但不限于消防火栓、灭火器、应急照明、安全出口指示灯与警示标志标识、自动喷淋、火灾探测报警器、各类监测仪器等）的检查、维护保养，并做好记录台帐。</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（十九）乙方若涉及特种作业，应加强特种作业人员安全管理，不得无证上岗、无证操作。</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（二十）乙方若涉及危险作业，应严格按危险作业相关规范，落实安全防护措施，确保作业安全。</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（二十一）乙方作为甲方物业的承租使用方，在甲方物业相邻方发生安全生产事故、突发公众事件、自然灾害事故及预警事件时，应及时告知甲方并积极协助应急处置。</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（二十二）在合同期满或中止，不再续签时，迁移设备、需恢复物业原有结构（甲方书面同意无需恢复的除外），保证物业安全，并通过甲方的验收。</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（二十三）职业健康、环保安全管理：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乙方应认真贯彻落实《中华人民共和国职业病防治法》及有关法律法规、属地卫生局监督所的相关要求。乙方如违反职业病防治法律法规和甲方的质量/环境/职业健康安全管理体系要求，受到属地卫生局监督所处罚时，承担全部责任及承担所需费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2.乙方应按照相关法律、法规、规定，对本项目环境/职业健康安全生产进行管理，并承担责任。不得野蛮作业、不得扰民、不得违章指挥和违章作业。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3.乙方应为作业人员配置有效的职业病防护设施，为作业人员提供职业病防护用品，防护用品应符合国家标准，并要求其正确使用。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4.乙方对租赁场所进行装修/改造等，应采用合格的符合环保规定的建筑材料，并应当在施工现场设置职业病危害警示标识及说明。</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5.乙方有权依法自主行使环境/职业健康安全管理。有权要求甲方统一协调涉及双方的重大环境/职业健康安全生产问题。</w:t>
      </w:r>
    </w:p>
    <w:p>
      <w:pPr>
        <w:ind w:firstLine="640" w:firstLineChars="200"/>
        <w:rPr>
          <w:rFonts w:ascii="仿宋_GB2312" w:hAnsi="仿宋_GB2312" w:eastAsia="仿宋_GB2312" w:cs="仿宋_GB2312"/>
          <w:color w:val="000000" w:themeColor="text1"/>
          <w:spacing w:val="-4"/>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6.有权要求甲方告知重大环境因素及风险因素。</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（二十四）法律法规规定的其他责任和义务。</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第十条  安全生产担保</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（一）风险担保</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如乙方从事的生产经营活动存在安全风险点危险源，应在签订本协议的同时向甲方提供风险担保，承诺一旦发生事故而造成的一切损失均由乙方承担。为保障乙方财产权益，鼓励乙方投保安全生产责任保险。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如事故发生在公用场地（包括通道），由引致事故的一方承担责任。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（二）罚款承担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因乙方责任造成的安全事故或其他安全生产违法行为导致被政府或行政主管部门罚款，均由乙方承担。如乙方不直接支付罚款，甲方可从乙方交纳的租赁保证金中扣除，不足部分可继续从乙方提供的风险担保中支付，或通过法律渠道等其他方式向乙方追索。如因乙方责任造成的安全事故或其他安全生产违法行为导致甲方被政府或行政主管部门罚款的，由乙方赔偿甲方的相应损失或甲方有权在乙方的租赁保证金中直接予以相应扣除。</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第十一条  安全生产事项违约</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乙方如违反以下规定，甲方有权选择凭甲方安全检查记录直接要求乙方支付相应的违约金或采取其他措施(包括但不限于有权单方面解除租赁合同并没收租赁保证金等)，造成所有后果和责任由乙方自行承担：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1、对违反本协议相关约定而引发安全事故的，除相关部门依法追究责任外，甲方将根据损失情况追究乙方的赔偿责任。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2、乙方未按规定指定安全生产负责人和安全管理人或上述人员未持证上岗；企业规模达到相关法规要求应设置安全管理机构未设置，经甲方指出后，逾期未整改的，甲方有权单方面解除租赁合同。</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乙方未按法规或行业标准制定相应的安全管理制度(包括但不限于安全生产责任制﹑安全生产投入、隐患排查与治理、安全教育培训、职业健康管理、环境管理、事故应急预案等）或操作规程的，甲方有权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即保证金30%的金额/次</w:t>
      </w:r>
      <w:r>
        <w:rPr>
          <w:rFonts w:hint="eastAsia" w:ascii="仿宋_GB2312" w:hAnsi="仿宋_GB2312" w:eastAsia="仿宋_GB2312" w:cs="仿宋_GB2312"/>
          <w:color w:val="000000" w:themeColor="text1"/>
          <w:sz w:val="32"/>
          <w:szCs w:val="32"/>
          <w14:textFill>
            <w14:solidFill>
              <w14:schemeClr w14:val="tx1"/>
            </w14:solidFill>
          </w14:textFill>
        </w:rPr>
        <w:t>。</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4、乙方未及时（发生安全事故十分钟内)、如实向甲方报告所承租物业范围内发生的安全事故和政府相关部门的有关执法情况的，甲方有权直接要求乙方支付违约金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即保证金30%的金额/次</w:t>
      </w:r>
      <w:r>
        <w:rPr>
          <w:rFonts w:hint="eastAsia" w:ascii="仿宋_GB2312" w:hAnsi="仿宋_GB2312" w:eastAsia="仿宋_GB2312" w:cs="仿宋_GB2312"/>
          <w:color w:val="000000" w:themeColor="text1"/>
          <w:sz w:val="32"/>
          <w:szCs w:val="32"/>
          <w14:textFill>
            <w14:solidFill>
              <w14:schemeClr w14:val="tx1"/>
            </w14:solidFill>
          </w14:textFill>
        </w:rPr>
        <w:t>。</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5、乙方违反本协议第九条第六款有关约定，在进行承租物业改造﹑装修﹑修缮时未向甲方申请并同意，擅自动工；或经甲方同意，但未到相关部门报备擅自动工的，甲方有权直接要求乙方支付违约金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即保证金40%的金额/次</w:t>
      </w:r>
      <w:r>
        <w:rPr>
          <w:rFonts w:hint="eastAsia" w:ascii="仿宋_GB2312" w:hAnsi="仿宋_GB2312" w:eastAsia="仿宋_GB2312" w:cs="仿宋_GB2312"/>
          <w:color w:val="000000" w:themeColor="text1"/>
          <w:sz w:val="32"/>
          <w:szCs w:val="32"/>
          <w14:textFill>
            <w14:solidFill>
              <w14:schemeClr w14:val="tx1"/>
            </w14:solidFill>
          </w14:textFill>
        </w:rPr>
        <w:t>；若乙方擅自改动原建筑的承重构件、减少安全出口和总宽度或封堵逃生窗，甲方有权要求限期整改恢复原样并要求乙方支付违约金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即保证金60%的金额/次</w:t>
      </w:r>
      <w:r>
        <w:rPr>
          <w:rFonts w:hint="eastAsia" w:ascii="仿宋_GB2312" w:hAnsi="仿宋_GB2312" w:eastAsia="仿宋_GB2312" w:cs="仿宋_GB2312"/>
          <w:color w:val="000000" w:themeColor="text1"/>
          <w:sz w:val="32"/>
          <w:szCs w:val="32"/>
          <w14:textFill>
            <w14:solidFill>
              <w14:schemeClr w14:val="tx1"/>
            </w14:solidFill>
          </w14:textFill>
        </w:rPr>
        <w:t>；若乙方在承租物业范围内违规搭建，甲方有权依职责拆除或报相关政府部门并要求乙方支付违约金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即保证金60%的金额/次</w:t>
      </w:r>
      <w:r>
        <w:rPr>
          <w:rFonts w:hint="eastAsia" w:ascii="仿宋_GB2312" w:hAnsi="仿宋_GB2312" w:eastAsia="仿宋_GB2312" w:cs="仿宋_GB2312"/>
          <w:color w:val="000000" w:themeColor="text1"/>
          <w:sz w:val="32"/>
          <w:szCs w:val="32"/>
          <w14:textFill>
            <w14:solidFill>
              <w14:schemeClr w14:val="tx1"/>
            </w14:solidFill>
          </w14:textFill>
        </w:rPr>
        <w:t>。对造成的相关损失由乙方自行承担,如对甲方造成任何负面影响或损失，甲方保留追究的权利。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6、乙方违反本协议第九条第九款、第十八款、第十九款、二十款有关约定的任一情节,经甲方检查发现将下发安全隐患整改通知单，并责令整改，如在甲方复检发现未能整改完成的，甲方有权要求乙方支付违约金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即保证金20%的金额/次</w:t>
      </w:r>
      <w:r>
        <w:rPr>
          <w:rFonts w:hint="eastAsia" w:ascii="仿宋_GB2312" w:hAnsi="仿宋_GB2312" w:eastAsia="仿宋_GB2312" w:cs="仿宋_GB2312"/>
          <w:color w:val="000000" w:themeColor="text1"/>
          <w:sz w:val="32"/>
          <w:szCs w:val="32"/>
          <w14:textFill>
            <w14:solidFill>
              <w14:schemeClr w14:val="tx1"/>
            </w14:solidFill>
          </w14:textFill>
        </w:rPr>
        <w:t>；情节严重甲方有关向政府相关部门举报并要求乙方支付违约金</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即保证金40%的金额/次</w:t>
      </w:r>
      <w:r>
        <w:rPr>
          <w:rFonts w:hint="eastAsia" w:ascii="仿宋_GB2312" w:hAnsi="仿宋_GB2312" w:eastAsia="仿宋_GB2312" w:cs="仿宋_GB2312"/>
          <w:color w:val="000000" w:themeColor="text1"/>
          <w:sz w:val="32"/>
          <w:szCs w:val="32"/>
          <w14:textFill>
            <w14:solidFill>
              <w14:schemeClr w14:val="tx1"/>
            </w14:solidFill>
          </w14:textFill>
        </w:rPr>
        <w:t>，对造成的相关损失由乙方自行承担,造成甲方负面影响或损失，甲方保留追究的权利。乙方违反相关约定，经甲方提出整改要求，乙方拒绝整改或整改不合格，同一违约行为达三次或三次以上，甲方有权单方终止租赁合同，一切责任由乙方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乙方因不履行或不完全、不正确履行协议约定的安全生产管理责任，导致发生生产安全事故，除由司法机关依法追究法律责任外，事故责任方还应向对方赔偿事故造成的经济损失。</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第十二条  争议的解决</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本协议履行过程中所发生的争议，甲乙双方应协商解决；协商不成的，可请求租赁物业所在地公安、消防、安监、市监、环保、街道办等政府主管部门处理，或者依法向人民法院提起诉讼。</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第十三条  其它事项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（一）本协议作为双方所签订的租赁合同的附件，具有同等法律效力。</w:t>
      </w:r>
    </w:p>
    <w:p>
      <w:pPr>
        <w:tabs>
          <w:tab w:val="left" w:pos="1800"/>
        </w:tabs>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（二）本协议书未尽事宜，由双方另行协商并签订书面补充协议，补充协议具有同等效力。</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（三）甲乙双方签订的有关安全生产管理条款与本协议不一致的，以本协议为准。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（四）本《安全生产管理协议书》为租赁物业对应租赁合同不可分割的一部分，如乙方未能履行本协议约定的，视为乙方违约，甲方有权根据租赁合同追究乙方违约责任。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（五）本协议自双方签字盖章后生效。本协议一式两份，甲乙双方各执一份，均具同等法律效力。</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left="320" w:hanging="320" w:hangingChars="1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甲方（盖章）：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乙方（盖章）：</w:t>
      </w:r>
    </w:p>
    <w:p>
      <w:pPr>
        <w:ind w:left="320" w:hanging="320" w:hangingChars="1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佛山建发智慧城市科技有限公司                   </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负责人（签名）：             负责人（签名）：</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签订日期：   年  月  日      签订日期：   年   月   日</w:t>
      </w:r>
    </w:p>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思源黑体 CN">
    <w:panose1 w:val="020B0500000000000000"/>
    <w:charset w:val="86"/>
    <w:family w:val="auto"/>
    <w:pitch w:val="default"/>
    <w:sig w:usb0="20000083" w:usb1="2ADF3C10" w:usb2="00000016" w:usb3="00000000" w:csb0="60060107" w:csb1="00000000"/>
  </w:font>
  <w:font w:name="微软雅黑 Light">
    <w:panose1 w:val="020B0502040204020203"/>
    <w:charset w:val="86"/>
    <w:family w:val="auto"/>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F0"/>
    <w:rsid w:val="00323E17"/>
    <w:rsid w:val="00355A1D"/>
    <w:rsid w:val="004A10D5"/>
    <w:rsid w:val="00541D35"/>
    <w:rsid w:val="005C0952"/>
    <w:rsid w:val="00686B88"/>
    <w:rsid w:val="0074343C"/>
    <w:rsid w:val="00764E06"/>
    <w:rsid w:val="007B11A4"/>
    <w:rsid w:val="007C1ADA"/>
    <w:rsid w:val="00941CF3"/>
    <w:rsid w:val="00B204F0"/>
    <w:rsid w:val="00B3775B"/>
    <w:rsid w:val="00C3047D"/>
    <w:rsid w:val="00E35A67"/>
    <w:rsid w:val="00EF39B9"/>
    <w:rsid w:val="01255ED7"/>
    <w:rsid w:val="01D0089B"/>
    <w:rsid w:val="023A54C3"/>
    <w:rsid w:val="044A35B6"/>
    <w:rsid w:val="052704A0"/>
    <w:rsid w:val="068256EC"/>
    <w:rsid w:val="069D59BD"/>
    <w:rsid w:val="0797043B"/>
    <w:rsid w:val="0A060C2E"/>
    <w:rsid w:val="0A2A18AF"/>
    <w:rsid w:val="0AF7719B"/>
    <w:rsid w:val="0BA03347"/>
    <w:rsid w:val="0BB323A1"/>
    <w:rsid w:val="0D2E02A3"/>
    <w:rsid w:val="0DB3118B"/>
    <w:rsid w:val="0DC9122A"/>
    <w:rsid w:val="15855643"/>
    <w:rsid w:val="182175BB"/>
    <w:rsid w:val="184B751B"/>
    <w:rsid w:val="1B6152B4"/>
    <w:rsid w:val="1C434087"/>
    <w:rsid w:val="1D0D2C7B"/>
    <w:rsid w:val="21244D9D"/>
    <w:rsid w:val="21A63DB3"/>
    <w:rsid w:val="230C331F"/>
    <w:rsid w:val="247240CC"/>
    <w:rsid w:val="27B47EFB"/>
    <w:rsid w:val="27B72C63"/>
    <w:rsid w:val="28BF0327"/>
    <w:rsid w:val="28F31FF1"/>
    <w:rsid w:val="2B0A325B"/>
    <w:rsid w:val="2DAA74AD"/>
    <w:rsid w:val="2EC80501"/>
    <w:rsid w:val="2EE250DA"/>
    <w:rsid w:val="2F745FCE"/>
    <w:rsid w:val="2FD262BC"/>
    <w:rsid w:val="309F5D7F"/>
    <w:rsid w:val="31DF75A2"/>
    <w:rsid w:val="32263EC0"/>
    <w:rsid w:val="32B36180"/>
    <w:rsid w:val="33F01795"/>
    <w:rsid w:val="366E177C"/>
    <w:rsid w:val="370D08E5"/>
    <w:rsid w:val="373E7AFD"/>
    <w:rsid w:val="37563DF5"/>
    <w:rsid w:val="394B0867"/>
    <w:rsid w:val="395D47D0"/>
    <w:rsid w:val="3AEA4EB3"/>
    <w:rsid w:val="3CC869CE"/>
    <w:rsid w:val="3D662DE8"/>
    <w:rsid w:val="3E3053A5"/>
    <w:rsid w:val="3EF764D2"/>
    <w:rsid w:val="3FD86242"/>
    <w:rsid w:val="41063A86"/>
    <w:rsid w:val="426C0D7F"/>
    <w:rsid w:val="42F12379"/>
    <w:rsid w:val="45305BAC"/>
    <w:rsid w:val="49C134EB"/>
    <w:rsid w:val="4B041701"/>
    <w:rsid w:val="4C9969B9"/>
    <w:rsid w:val="4D071F59"/>
    <w:rsid w:val="4D5B7BD8"/>
    <w:rsid w:val="4D9A0CAB"/>
    <w:rsid w:val="4EF97701"/>
    <w:rsid w:val="50A31FF2"/>
    <w:rsid w:val="555B7B26"/>
    <w:rsid w:val="5ABC2034"/>
    <w:rsid w:val="5CAB0633"/>
    <w:rsid w:val="5E346ADA"/>
    <w:rsid w:val="5EEC468F"/>
    <w:rsid w:val="5F0F1EA5"/>
    <w:rsid w:val="5F2C4F82"/>
    <w:rsid w:val="5F86242C"/>
    <w:rsid w:val="61BF394A"/>
    <w:rsid w:val="637F2F50"/>
    <w:rsid w:val="647B75EC"/>
    <w:rsid w:val="65CF1DD4"/>
    <w:rsid w:val="66D36D19"/>
    <w:rsid w:val="6A717EAD"/>
    <w:rsid w:val="6A813F80"/>
    <w:rsid w:val="6B523337"/>
    <w:rsid w:val="6B756692"/>
    <w:rsid w:val="6C4C004E"/>
    <w:rsid w:val="6CC50C06"/>
    <w:rsid w:val="6EE65D12"/>
    <w:rsid w:val="71BB57C3"/>
    <w:rsid w:val="72104C3A"/>
    <w:rsid w:val="73F33D34"/>
    <w:rsid w:val="76A3594A"/>
    <w:rsid w:val="7BDE7A61"/>
    <w:rsid w:val="7CA9750B"/>
    <w:rsid w:val="7DA373BF"/>
    <w:rsid w:val="7FE0215A"/>
    <w:rsid w:val="7FF02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2"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22"/>
    <w:qFormat/>
    <w:uiPriority w:val="0"/>
    <w:rPr>
      <w:b/>
      <w:bCs/>
    </w:rPr>
  </w:style>
  <w:style w:type="paragraph" w:styleId="3">
    <w:name w:val="annotation text"/>
    <w:basedOn w:val="1"/>
    <w:link w:val="21"/>
    <w:qFormat/>
    <w:uiPriority w:val="0"/>
    <w:pPr>
      <w:jc w:val="left"/>
    </w:pPr>
  </w:style>
  <w:style w:type="paragraph" w:styleId="4">
    <w:name w:val="Balloon Text"/>
    <w:basedOn w:val="1"/>
    <w:link w:val="20"/>
    <w:qFormat/>
    <w:uiPriority w:val="0"/>
    <w:rPr>
      <w:sz w:val="18"/>
      <w:szCs w:val="18"/>
    </w:rPr>
  </w:style>
  <w:style w:type="paragraph" w:styleId="5">
    <w:name w:val="footer"/>
    <w:basedOn w:val="1"/>
    <w:link w:val="19"/>
    <w:qFormat/>
    <w:uiPriority w:val="0"/>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2"/>
    <w:pPr>
      <w:widowControl/>
      <w:spacing w:before="100" w:beforeAutospacing="1" w:after="100" w:afterAutospacing="1"/>
      <w:jc w:val="left"/>
    </w:pPr>
    <w:rPr>
      <w:rFonts w:ascii="宋体" w:hAnsi="宋体" w:cs="宋体"/>
      <w:kern w:val="0"/>
      <w:sz w:val="24"/>
    </w:rPr>
  </w:style>
  <w:style w:type="character" w:styleId="9">
    <w:name w:val="FollowedHyperlink"/>
    <w:basedOn w:val="8"/>
    <w:qFormat/>
    <w:uiPriority w:val="0"/>
    <w:rPr>
      <w:color w:val="771CAA"/>
      <w:u w:val="none"/>
    </w:rPr>
  </w:style>
  <w:style w:type="character" w:styleId="10">
    <w:name w:val="Emphasis"/>
    <w:basedOn w:val="8"/>
    <w:qFormat/>
    <w:uiPriority w:val="0"/>
    <w:rPr>
      <w:color w:val="F73131"/>
    </w:rPr>
  </w:style>
  <w:style w:type="character" w:styleId="11">
    <w:name w:val="Hyperlink"/>
    <w:basedOn w:val="8"/>
    <w:qFormat/>
    <w:uiPriority w:val="0"/>
    <w:rPr>
      <w:color w:val="2440B3"/>
      <w:u w:val="none"/>
    </w:rPr>
  </w:style>
  <w:style w:type="character" w:styleId="12">
    <w:name w:val="annotation reference"/>
    <w:basedOn w:val="8"/>
    <w:qFormat/>
    <w:uiPriority w:val="0"/>
    <w:rPr>
      <w:sz w:val="21"/>
      <w:szCs w:val="21"/>
    </w:rPr>
  </w:style>
  <w:style w:type="character" w:styleId="13">
    <w:name w:val="HTML Cite"/>
    <w:basedOn w:val="8"/>
    <w:qFormat/>
    <w:uiPriority w:val="0"/>
    <w:rPr>
      <w:color w:val="008000"/>
    </w:rPr>
  </w:style>
  <w:style w:type="character" w:customStyle="1" w:styleId="15">
    <w:name w:val="c-icon30"/>
    <w:basedOn w:val="8"/>
    <w:qFormat/>
    <w:uiPriority w:val="0"/>
  </w:style>
  <w:style w:type="character" w:customStyle="1" w:styleId="16">
    <w:name w:val="hover26"/>
    <w:basedOn w:val="8"/>
    <w:qFormat/>
    <w:uiPriority w:val="0"/>
  </w:style>
  <w:style w:type="character" w:customStyle="1" w:styleId="17">
    <w:name w:val="hover27"/>
    <w:basedOn w:val="8"/>
    <w:qFormat/>
    <w:uiPriority w:val="0"/>
    <w:rPr>
      <w:color w:val="315EFB"/>
    </w:rPr>
  </w:style>
  <w:style w:type="character" w:customStyle="1" w:styleId="18">
    <w:name w:val="页眉 Char"/>
    <w:basedOn w:val="8"/>
    <w:link w:val="6"/>
    <w:qFormat/>
    <w:uiPriority w:val="0"/>
    <w:rPr>
      <w:rFonts w:asciiTheme="minorHAnsi" w:hAnsiTheme="minorHAnsi" w:eastAsiaTheme="minorEastAsia" w:cstheme="minorBidi"/>
      <w:kern w:val="2"/>
      <w:sz w:val="18"/>
      <w:szCs w:val="18"/>
    </w:rPr>
  </w:style>
  <w:style w:type="character" w:customStyle="1" w:styleId="19">
    <w:name w:val="页脚 Char"/>
    <w:basedOn w:val="8"/>
    <w:link w:val="5"/>
    <w:qFormat/>
    <w:uiPriority w:val="0"/>
    <w:rPr>
      <w:rFonts w:asciiTheme="minorHAnsi" w:hAnsiTheme="minorHAnsi" w:eastAsiaTheme="minorEastAsia" w:cstheme="minorBidi"/>
      <w:kern w:val="2"/>
      <w:sz w:val="18"/>
      <w:szCs w:val="18"/>
    </w:rPr>
  </w:style>
  <w:style w:type="character" w:customStyle="1" w:styleId="20">
    <w:name w:val="批注框文本 Char"/>
    <w:basedOn w:val="8"/>
    <w:link w:val="4"/>
    <w:qFormat/>
    <w:uiPriority w:val="0"/>
    <w:rPr>
      <w:rFonts w:asciiTheme="minorHAnsi" w:hAnsiTheme="minorHAnsi" w:eastAsiaTheme="minorEastAsia" w:cstheme="minorBidi"/>
      <w:kern w:val="2"/>
      <w:sz w:val="18"/>
      <w:szCs w:val="18"/>
    </w:rPr>
  </w:style>
  <w:style w:type="character" w:customStyle="1" w:styleId="21">
    <w:name w:val="批注文字 Char"/>
    <w:basedOn w:val="8"/>
    <w:link w:val="3"/>
    <w:qFormat/>
    <w:uiPriority w:val="0"/>
    <w:rPr>
      <w:rFonts w:asciiTheme="minorHAnsi" w:hAnsiTheme="minorHAnsi" w:eastAsiaTheme="minorEastAsia" w:cstheme="minorBidi"/>
      <w:kern w:val="2"/>
      <w:sz w:val="21"/>
      <w:szCs w:val="24"/>
    </w:rPr>
  </w:style>
  <w:style w:type="character" w:customStyle="1" w:styleId="22">
    <w:name w:val="批注主题 Char"/>
    <w:basedOn w:val="21"/>
    <w:link w:val="2"/>
    <w:qFormat/>
    <w:uiPriority w:val="0"/>
    <w:rPr>
      <w:rFonts w:asciiTheme="minorHAnsi" w:hAnsiTheme="minorHAnsi" w:eastAsiaTheme="minorEastAsia" w:cstheme="minorBidi"/>
      <w:b/>
      <w:bCs/>
      <w:kern w:val="2"/>
      <w:sz w:val="21"/>
      <w:szCs w:val="24"/>
    </w:rPr>
  </w:style>
  <w:style w:type="paragraph" w:customStyle="1" w:styleId="23">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17</Pages>
  <Words>1352</Words>
  <Characters>7710</Characters>
  <Lines>64</Lines>
  <Paragraphs>18</Paragraphs>
  <TotalTime>0</TotalTime>
  <ScaleCrop>false</ScaleCrop>
  <LinksUpToDate>false</LinksUpToDate>
  <CharactersWithSpaces>9044</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曾建</cp:lastModifiedBy>
  <dcterms:modified xsi:type="dcterms:W3CDTF">2024-11-14T09:20:24Z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812DAEB95BF5464D853B7AE96D5788A8</vt:lpwstr>
  </property>
</Properties>
</file>