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44120D">
      <w:pPr>
        <w:keepNext w:val="0"/>
        <w:keepLines w:val="0"/>
        <w:pageBreakBefore w:val="0"/>
        <w:widowControl/>
        <w:snapToGrid/>
        <w:spacing w:line="560" w:lineRule="exact"/>
        <w:jc w:val="center"/>
        <w:rPr>
          <w:rFonts w:hint="eastAsia" w:ascii="方正小标宋简体" w:eastAsia="方正小标宋简体"/>
          <w:sz w:val="44"/>
          <w:szCs w:val="44"/>
          <w:lang w:eastAsia="zh-CN"/>
        </w:rPr>
      </w:pPr>
      <w:r>
        <w:rPr>
          <w:rFonts w:hint="eastAsia" w:ascii="方正小标宋简体" w:eastAsia="方正小标宋简体"/>
          <w:sz w:val="44"/>
          <w:szCs w:val="44"/>
        </w:rPr>
        <w:t>安全</w:t>
      </w:r>
      <w:r>
        <w:rPr>
          <w:rFonts w:hint="eastAsia" w:ascii="方正小标宋简体" w:eastAsia="方正小标宋简体"/>
          <w:sz w:val="44"/>
          <w:szCs w:val="44"/>
          <w:lang w:eastAsia="zh-CN"/>
        </w:rPr>
        <w:t>生产</w:t>
      </w:r>
      <w:r>
        <w:rPr>
          <w:rFonts w:hint="eastAsia" w:ascii="方正小标宋简体" w:eastAsia="方正小标宋简体"/>
          <w:sz w:val="44"/>
          <w:szCs w:val="44"/>
        </w:rPr>
        <w:t>管理协议</w:t>
      </w:r>
    </w:p>
    <w:p w14:paraId="3D857F61">
      <w:pPr>
        <w:keepNext w:val="0"/>
        <w:keepLines w:val="0"/>
        <w:pageBreakBefore w:val="0"/>
        <w:tabs>
          <w:tab w:val="left" w:pos="7830"/>
        </w:tabs>
        <w:snapToGrid/>
        <w:spacing w:line="560" w:lineRule="exact"/>
        <w:rPr>
          <w:rFonts w:ascii="仿宋" w:hAnsi="仿宋" w:eastAsia="仿宋"/>
          <w:sz w:val="32"/>
          <w:szCs w:val="32"/>
        </w:rPr>
      </w:pPr>
    </w:p>
    <w:p w14:paraId="652263FA">
      <w:pPr>
        <w:keepNext w:val="0"/>
        <w:keepLines w:val="0"/>
        <w:pageBreakBefore w:val="0"/>
        <w:snapToGrid/>
        <w:spacing w:line="540" w:lineRule="exact"/>
        <w:rPr>
          <w:rFonts w:ascii="仿宋" w:hAnsi="仿宋" w:eastAsia="仿宋"/>
          <w:b/>
          <w:sz w:val="32"/>
          <w:szCs w:val="32"/>
          <w:highlight w:val="none"/>
          <w:u w:val="single"/>
        </w:rPr>
      </w:pPr>
      <w:r>
        <w:rPr>
          <w:rFonts w:hint="eastAsia" w:ascii="仿宋" w:hAnsi="仿宋" w:eastAsia="仿宋"/>
          <w:b/>
          <w:sz w:val="32"/>
          <w:szCs w:val="32"/>
          <w:highlight w:val="none"/>
        </w:rPr>
        <w:t>甲方：</w:t>
      </w:r>
      <w:r>
        <w:rPr>
          <w:rFonts w:hint="eastAsia" w:ascii="仿宋" w:hAnsi="仿宋" w:eastAsia="仿宋"/>
          <w:b/>
          <w:sz w:val="32"/>
          <w:szCs w:val="32"/>
          <w:highlight w:val="none"/>
          <w:lang w:val="en-US" w:eastAsia="zh-CN"/>
        </w:rPr>
        <w:t xml:space="preserve">广州市广百展贸股份有限公司 </w:t>
      </w:r>
    </w:p>
    <w:p w14:paraId="27D0C173">
      <w:pPr>
        <w:keepNext w:val="0"/>
        <w:keepLines w:val="0"/>
        <w:pageBreakBefore w:val="0"/>
        <w:snapToGrid/>
        <w:spacing w:line="540" w:lineRule="exact"/>
        <w:rPr>
          <w:rFonts w:hint="eastAsia" w:ascii="仿宋" w:hAnsi="仿宋" w:eastAsia="仿宋"/>
          <w:b/>
          <w:sz w:val="32"/>
          <w:szCs w:val="32"/>
          <w:highlight w:val="none"/>
        </w:rPr>
      </w:pPr>
    </w:p>
    <w:p w14:paraId="318CDABB">
      <w:pPr>
        <w:keepNext w:val="0"/>
        <w:keepLines w:val="0"/>
        <w:pageBreakBefore w:val="0"/>
        <w:snapToGrid/>
        <w:spacing w:line="540" w:lineRule="exact"/>
        <w:rPr>
          <w:rFonts w:hint="eastAsia" w:ascii="仿宋" w:hAnsi="仿宋" w:eastAsia="仿宋"/>
          <w:b/>
          <w:sz w:val="32"/>
          <w:szCs w:val="32"/>
          <w:highlight w:val="none"/>
        </w:rPr>
      </w:pPr>
      <w:r>
        <w:rPr>
          <w:rFonts w:hint="eastAsia" w:ascii="仿宋" w:hAnsi="仿宋" w:eastAsia="仿宋"/>
          <w:b/>
          <w:sz w:val="32"/>
          <w:szCs w:val="32"/>
          <w:highlight w:val="none"/>
        </w:rPr>
        <w:t>乙方：</w:t>
      </w:r>
    </w:p>
    <w:p w14:paraId="5A245156">
      <w:pPr>
        <w:keepNext w:val="0"/>
        <w:keepLines w:val="0"/>
        <w:pageBreakBefore w:val="0"/>
        <w:snapToGrid/>
        <w:spacing w:line="540" w:lineRule="exact"/>
        <w:rPr>
          <w:rFonts w:hint="eastAsia" w:ascii="仿宋" w:hAnsi="仿宋" w:eastAsia="仿宋"/>
          <w:b/>
          <w:sz w:val="32"/>
          <w:szCs w:val="32"/>
          <w:highlight w:val="none"/>
        </w:rPr>
      </w:pPr>
    </w:p>
    <w:p w14:paraId="2E03581E">
      <w:pPr>
        <w:keepNext w:val="0"/>
        <w:keepLines w:val="0"/>
        <w:pageBreakBefore w:val="0"/>
        <w:overflowPunct w:val="0"/>
        <w:snapToGrid/>
        <w:spacing w:line="52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为贯彻“安全第一、预防为主、综合治理”的方针，明确甲乙双方的安全管理责任，根据《中华人民共和国安全生产法》《中华人民共和国消防法》等法律法规，经协商一致，订立本安全</w:t>
      </w:r>
      <w:r>
        <w:rPr>
          <w:rFonts w:hint="eastAsia" w:ascii="仿宋_GB2312" w:hAnsi="仿宋_GB2312" w:eastAsia="仿宋_GB2312" w:cs="仿宋_GB2312"/>
          <w:sz w:val="32"/>
          <w:szCs w:val="32"/>
          <w:highlight w:val="none"/>
          <w:lang w:val="en-US" w:eastAsia="zh-CN"/>
        </w:rPr>
        <w:t>生产</w:t>
      </w:r>
      <w:r>
        <w:rPr>
          <w:rFonts w:hint="eastAsia" w:ascii="仿宋_GB2312" w:hAnsi="仿宋_GB2312" w:eastAsia="仿宋_GB2312" w:cs="仿宋_GB2312"/>
          <w:sz w:val="32"/>
          <w:szCs w:val="32"/>
          <w:highlight w:val="none"/>
        </w:rPr>
        <w:t>管理协议（下称“本协议”）。</w:t>
      </w:r>
    </w:p>
    <w:p w14:paraId="40A854C6">
      <w:pPr>
        <w:keepNext w:val="0"/>
        <w:keepLines w:val="0"/>
        <w:pageBreakBefore w:val="0"/>
        <w:overflowPunct w:val="0"/>
        <w:snapToGrid/>
        <w:spacing w:line="520" w:lineRule="exact"/>
        <w:ind w:left="0" w:leftChars="0" w:firstLine="640" w:firstLineChars="200"/>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rPr>
        <w:t>一、</w:t>
      </w:r>
      <w:r>
        <w:rPr>
          <w:rFonts w:hint="eastAsia" w:ascii="黑体" w:hAnsi="黑体" w:eastAsia="黑体" w:cs="黑体"/>
          <w:sz w:val="32"/>
          <w:szCs w:val="32"/>
          <w:highlight w:val="none"/>
          <w:lang w:val="en-US" w:eastAsia="zh-CN"/>
        </w:rPr>
        <w:t>协议期限</w:t>
      </w:r>
    </w:p>
    <w:p w14:paraId="04019D2C">
      <w:pPr>
        <w:widowControl/>
        <w:overflowPunct w:val="0"/>
        <w:snapToGrid/>
        <w:spacing w:line="52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本协议自</w:t>
      </w:r>
      <w:r>
        <w:rPr>
          <w:rFonts w:hint="eastAsia" w:ascii="仿宋_GB2312" w:hAnsi="仿宋_GB2312" w:eastAsia="仿宋_GB2312" w:cs="仿宋_GB2312"/>
          <w:sz w:val="32"/>
          <w:szCs w:val="32"/>
          <w:highlight w:val="none"/>
          <w:lang w:eastAsia="zh-CN"/>
        </w:rPr>
        <w:t xml:space="preserve"> </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eastAsia="zh-CN"/>
        </w:rPr>
        <w:t xml:space="preserve"> </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eastAsia="zh-CN"/>
        </w:rPr>
        <w:t xml:space="preserve"> </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日至</w:t>
      </w:r>
      <w:r>
        <w:rPr>
          <w:rFonts w:hint="eastAsia" w:ascii="仿宋_GB2312" w:hAnsi="仿宋_GB2312" w:eastAsia="仿宋_GB2312" w:cs="仿宋_GB2312"/>
          <w:sz w:val="32"/>
          <w:szCs w:val="32"/>
          <w:highlight w:val="none"/>
          <w:lang w:eastAsia="zh-CN"/>
        </w:rPr>
        <w:t xml:space="preserve"> </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eastAsia="zh-CN"/>
        </w:rPr>
        <w:t xml:space="preserve"> </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eastAsia="zh-CN"/>
        </w:rPr>
        <w:t xml:space="preserve"> </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日止。</w:t>
      </w:r>
    </w:p>
    <w:p w14:paraId="16045623">
      <w:pPr>
        <w:keepNext w:val="0"/>
        <w:keepLines w:val="0"/>
        <w:pageBreakBefore w:val="0"/>
        <w:overflowPunct w:val="0"/>
        <w:snapToGrid/>
        <w:spacing w:line="520" w:lineRule="exact"/>
        <w:ind w:left="0" w:leftChars="0" w:firstLine="640" w:firstLineChars="200"/>
        <w:rPr>
          <w:rFonts w:hint="eastAsia" w:ascii="黑体" w:hAnsi="黑体" w:eastAsia="黑体" w:cs="黑体"/>
          <w:sz w:val="32"/>
          <w:szCs w:val="32"/>
          <w:highlight w:val="none"/>
        </w:rPr>
      </w:pPr>
      <w:r>
        <w:rPr>
          <w:rFonts w:hint="eastAsia" w:ascii="黑体" w:hAnsi="黑体" w:eastAsia="黑体" w:cs="黑体"/>
          <w:sz w:val="32"/>
          <w:szCs w:val="32"/>
          <w:highlight w:val="none"/>
          <w:lang w:val="en-US" w:eastAsia="zh-CN"/>
        </w:rPr>
        <w:t>二、</w:t>
      </w:r>
      <w:r>
        <w:rPr>
          <w:rFonts w:hint="eastAsia" w:ascii="黑体" w:hAnsi="黑体" w:eastAsia="黑体" w:cs="黑体"/>
          <w:sz w:val="32"/>
          <w:szCs w:val="32"/>
          <w:highlight w:val="none"/>
        </w:rPr>
        <w:t xml:space="preserve"> </w:t>
      </w:r>
      <w:r>
        <w:rPr>
          <w:rFonts w:hint="eastAsia" w:ascii="黑体" w:hAnsi="黑体" w:eastAsia="黑体" w:cs="黑体"/>
          <w:sz w:val="32"/>
          <w:szCs w:val="32"/>
          <w:highlight w:val="none"/>
          <w:lang w:val="en-US" w:eastAsia="zh-CN"/>
        </w:rPr>
        <w:t>协议</w:t>
      </w:r>
      <w:r>
        <w:rPr>
          <w:rFonts w:hint="eastAsia" w:ascii="黑体" w:hAnsi="黑体" w:eastAsia="黑体" w:cs="黑体"/>
          <w:sz w:val="32"/>
          <w:szCs w:val="32"/>
          <w:highlight w:val="none"/>
        </w:rPr>
        <w:t>说明</w:t>
      </w:r>
    </w:p>
    <w:p w14:paraId="1ED24988">
      <w:pPr>
        <w:keepNext w:val="0"/>
        <w:keepLines w:val="0"/>
        <w:pageBreakBefore w:val="0"/>
        <w:overflowPunct w:val="0"/>
        <w:snapToGrid/>
        <w:spacing w:line="52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（一）本协议为</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合同的从合同</w:t>
      </w:r>
      <w:r>
        <w:rPr>
          <w:rFonts w:hint="eastAsia" w:ascii="仿宋_GB2312" w:hAnsi="仿宋_GB2312" w:eastAsia="仿宋_GB2312" w:cs="仿宋_GB2312"/>
          <w:sz w:val="32"/>
          <w:szCs w:val="32"/>
          <w:highlight w:val="none"/>
          <w:lang w:eastAsia="zh-CN"/>
        </w:rPr>
        <w:t>，本协议期限应与主合同期限一致。主合同提前终止或解除的，本协议同时终止</w:t>
      </w:r>
      <w:r>
        <w:rPr>
          <w:rFonts w:hint="eastAsia" w:ascii="仿宋_GB2312" w:hAnsi="仿宋_GB2312" w:eastAsia="仿宋_GB2312" w:cs="仿宋_GB2312"/>
          <w:sz w:val="32"/>
          <w:szCs w:val="32"/>
          <w:highlight w:val="none"/>
        </w:rPr>
        <w:t>。</w:t>
      </w:r>
    </w:p>
    <w:p w14:paraId="5A5D137C">
      <w:pPr>
        <w:keepNext w:val="0"/>
        <w:keepLines w:val="0"/>
        <w:pageBreakBefore w:val="0"/>
        <w:overflowPunct w:val="0"/>
        <w:snapToGrid/>
        <w:spacing w:line="52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w:t>
      </w:r>
      <w:r>
        <w:rPr>
          <w:rFonts w:hint="eastAsia" w:ascii="仿宋_GB2312" w:hAnsi="仿宋_GB2312" w:eastAsia="仿宋_GB2312" w:cs="仿宋_GB2312"/>
          <w:sz w:val="32"/>
          <w:szCs w:val="32"/>
          <w:highlight w:val="none"/>
          <w:lang w:val="en-US" w:eastAsia="zh-CN"/>
        </w:rPr>
        <w:t>进场作业/营业期间，</w:t>
      </w:r>
      <w:r>
        <w:rPr>
          <w:rFonts w:hint="eastAsia" w:ascii="仿宋_GB2312" w:hAnsi="仿宋_GB2312" w:eastAsia="仿宋_GB2312" w:cs="仿宋_GB2312"/>
          <w:sz w:val="32"/>
          <w:szCs w:val="32"/>
          <w:highlight w:val="none"/>
        </w:rPr>
        <w:t>乙方授权</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（身份证号码：</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）作为本项目负责人。乙方项目负责人全权负责其单位的安全管理工作。</w:t>
      </w:r>
      <w:r>
        <w:rPr>
          <w:rFonts w:hint="eastAsia" w:ascii="仿宋_GB2312" w:hAnsi="仿宋_GB2312" w:eastAsia="仿宋_GB2312" w:cs="仿宋_GB2312"/>
          <w:sz w:val="32"/>
          <w:szCs w:val="32"/>
          <w:highlight w:val="none"/>
          <w:lang w:eastAsia="zh-CN"/>
        </w:rPr>
        <w:t>乙方如需变更</w:t>
      </w:r>
      <w:r>
        <w:rPr>
          <w:rFonts w:hint="eastAsia" w:ascii="仿宋_GB2312" w:hAnsi="仿宋_GB2312" w:eastAsia="仿宋_GB2312" w:cs="仿宋_GB2312"/>
          <w:sz w:val="32"/>
          <w:szCs w:val="32"/>
          <w:highlight w:val="none"/>
        </w:rPr>
        <w:t>上述人员，</w:t>
      </w:r>
      <w:r>
        <w:rPr>
          <w:rFonts w:hint="eastAsia" w:ascii="仿宋_GB2312" w:hAnsi="仿宋_GB2312" w:eastAsia="仿宋_GB2312" w:cs="仿宋_GB2312"/>
          <w:sz w:val="32"/>
          <w:szCs w:val="32"/>
          <w:highlight w:val="none"/>
          <w:lang w:eastAsia="zh-CN"/>
        </w:rPr>
        <w:t>乙方应提前【</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lang w:eastAsia="zh-CN"/>
        </w:rPr>
        <w:t>】个工作日向甲方提交书面申请并</w:t>
      </w:r>
      <w:r>
        <w:rPr>
          <w:rFonts w:hint="eastAsia" w:ascii="仿宋_GB2312" w:hAnsi="仿宋_GB2312" w:eastAsia="仿宋_GB2312" w:cs="仿宋_GB2312"/>
          <w:sz w:val="32"/>
          <w:szCs w:val="32"/>
          <w:highlight w:val="none"/>
          <w:lang w:val="en-US" w:eastAsia="zh-CN"/>
        </w:rPr>
        <w:t>经甲方书面同意后方可变更</w:t>
      </w:r>
      <w:r>
        <w:rPr>
          <w:rFonts w:hint="eastAsia" w:ascii="仿宋_GB2312" w:hAnsi="仿宋_GB2312" w:eastAsia="仿宋_GB2312" w:cs="仿宋_GB2312"/>
          <w:sz w:val="32"/>
          <w:szCs w:val="32"/>
          <w:highlight w:val="none"/>
        </w:rPr>
        <w:t>，并留下书面变更记录。</w:t>
      </w:r>
    </w:p>
    <w:p w14:paraId="5C0A4D4E">
      <w:pPr>
        <w:keepNext w:val="0"/>
        <w:keepLines w:val="0"/>
        <w:pageBreakBefore w:val="0"/>
        <w:overflowPunct w:val="0"/>
        <w:snapToGrid/>
        <w:spacing w:line="52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（三）甲乙双方在履行法律法规要求的安全职责过程中，需要甲乙双方合作共同完成的工作，甲乙双方必须严格按照协议约定的工作程序执行，确保法律法规要求的职责得到落实。</w:t>
      </w:r>
    </w:p>
    <w:p w14:paraId="7011CDDC">
      <w:pPr>
        <w:keepNext w:val="0"/>
        <w:keepLines w:val="0"/>
        <w:pageBreakBefore w:val="0"/>
        <w:overflowPunct w:val="0"/>
        <w:snapToGrid/>
        <w:spacing w:line="52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（四）甲乙双方依据国家</w:t>
      </w:r>
      <w:r>
        <w:rPr>
          <w:rFonts w:hint="eastAsia" w:ascii="仿宋_GB2312" w:hAnsi="仿宋_GB2312" w:eastAsia="仿宋_GB2312" w:cs="仿宋_GB2312"/>
          <w:sz w:val="32"/>
          <w:szCs w:val="32"/>
          <w:highlight w:val="none"/>
          <w:lang w:val="en-US" w:eastAsia="zh-CN"/>
        </w:rPr>
        <w:t>有关</w:t>
      </w:r>
      <w:r>
        <w:rPr>
          <w:rFonts w:hint="eastAsia" w:ascii="仿宋_GB2312" w:hAnsi="仿宋_GB2312" w:eastAsia="仿宋_GB2312" w:cs="仿宋_GB2312"/>
          <w:sz w:val="32"/>
          <w:szCs w:val="32"/>
          <w:highlight w:val="none"/>
        </w:rPr>
        <w:t>法律法规、合同及本协议内容在作业过程中留存的书面记录，作为甲乙双方履行各自安全职责的主要证据。</w:t>
      </w:r>
    </w:p>
    <w:p w14:paraId="656A7427">
      <w:pPr>
        <w:keepNext w:val="0"/>
        <w:keepLines w:val="0"/>
        <w:pageBreakBefore w:val="0"/>
        <w:overflowPunct w:val="0"/>
        <w:snapToGrid/>
        <w:spacing w:line="520" w:lineRule="exact"/>
        <w:ind w:firstLine="640" w:firstLineChars="200"/>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（五）本协议所称伤亡事故</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均</w:t>
      </w:r>
      <w:r>
        <w:rPr>
          <w:rFonts w:hint="eastAsia" w:ascii="仿宋_GB2312" w:hAnsi="仿宋_GB2312" w:eastAsia="仿宋_GB2312" w:cs="仿宋_GB2312"/>
          <w:sz w:val="32"/>
          <w:szCs w:val="32"/>
          <w:highlight w:val="none"/>
          <w:lang w:val="en-US" w:eastAsia="zh-CN"/>
        </w:rPr>
        <w:t>指因履行本项目合同直接或间接导致的，</w:t>
      </w:r>
      <w:r>
        <w:rPr>
          <w:rFonts w:hint="eastAsia" w:ascii="仿宋_GB2312" w:hAnsi="仿宋_GB2312" w:eastAsia="仿宋_GB2312" w:cs="仿宋_GB2312"/>
          <w:sz w:val="32"/>
          <w:szCs w:val="32"/>
          <w:highlight w:val="none"/>
        </w:rPr>
        <w:t>包括对第三方人员造成的伤亡事故。</w:t>
      </w:r>
      <w:r>
        <w:rPr>
          <w:rFonts w:hint="eastAsia" w:ascii="仿宋_GB2312" w:hAnsi="仿宋_GB2312" w:eastAsia="仿宋_GB2312" w:cs="仿宋_GB2312"/>
          <w:sz w:val="32"/>
          <w:szCs w:val="32"/>
          <w:highlight w:val="none"/>
          <w:lang w:val="en-US" w:eastAsia="zh-CN"/>
        </w:rPr>
        <w:t>事故责任方应根据本协议第五条的约定承担相应责任。</w:t>
      </w:r>
    </w:p>
    <w:p w14:paraId="54D3652C">
      <w:pPr>
        <w:keepNext w:val="0"/>
        <w:keepLines w:val="0"/>
        <w:pageBreakBefore w:val="0"/>
        <w:overflowPunct w:val="0"/>
        <w:snapToGrid/>
        <w:spacing w:line="520" w:lineRule="exact"/>
        <w:ind w:left="0" w:leftChars="0" w:firstLine="640" w:firstLineChars="200"/>
        <w:rPr>
          <w:rFonts w:hint="eastAsia" w:ascii="黑体" w:hAnsi="黑体" w:eastAsia="黑体" w:cs="黑体"/>
          <w:sz w:val="32"/>
          <w:szCs w:val="32"/>
          <w:highlight w:val="none"/>
        </w:rPr>
      </w:pPr>
      <w:r>
        <w:rPr>
          <w:rFonts w:hint="eastAsia" w:ascii="黑体" w:hAnsi="黑体" w:eastAsia="黑体" w:cs="黑体"/>
          <w:sz w:val="32"/>
          <w:szCs w:val="32"/>
          <w:highlight w:val="none"/>
          <w:lang w:val="en-US" w:eastAsia="zh-CN"/>
        </w:rPr>
        <w:t>三</w:t>
      </w:r>
      <w:r>
        <w:rPr>
          <w:rFonts w:hint="eastAsia" w:ascii="黑体" w:hAnsi="黑体" w:eastAsia="黑体" w:cs="黑体"/>
          <w:sz w:val="32"/>
          <w:szCs w:val="32"/>
          <w:highlight w:val="none"/>
        </w:rPr>
        <w:t>、甲方权利与义务</w:t>
      </w:r>
    </w:p>
    <w:p w14:paraId="60D92B15">
      <w:pPr>
        <w:keepNext w:val="0"/>
        <w:keepLines w:val="0"/>
        <w:pageBreakBefore w:val="0"/>
        <w:overflowPunct w:val="0"/>
        <w:snapToGrid/>
        <w:spacing w:line="52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（一）甲方有权对乙方</w:t>
      </w:r>
      <w:r>
        <w:rPr>
          <w:rFonts w:hint="eastAsia" w:ascii="仿宋_GB2312" w:hAnsi="仿宋_GB2312" w:eastAsia="仿宋_GB2312" w:cs="仿宋_GB2312"/>
          <w:sz w:val="32"/>
          <w:szCs w:val="32"/>
          <w:highlight w:val="none"/>
          <w:lang w:val="en-US" w:eastAsia="zh-CN"/>
        </w:rPr>
        <w:t>聘请有资质第三方施工单位</w:t>
      </w:r>
      <w:r>
        <w:rPr>
          <w:rFonts w:hint="eastAsia" w:ascii="仿宋_GB2312" w:hAnsi="仿宋_GB2312" w:eastAsia="仿宋_GB2312" w:cs="仿宋_GB2312"/>
          <w:sz w:val="32"/>
          <w:szCs w:val="32"/>
          <w:highlight w:val="none"/>
        </w:rPr>
        <w:t>进入</w:t>
      </w:r>
      <w:r>
        <w:rPr>
          <w:rFonts w:hint="eastAsia" w:ascii="仿宋_GB2312" w:hAnsi="仿宋_GB2312" w:eastAsia="仿宋_GB2312" w:cs="仿宋_GB2312"/>
          <w:sz w:val="32"/>
          <w:szCs w:val="32"/>
          <w:highlight w:val="none"/>
          <w:lang w:val="en-US" w:eastAsia="zh-CN"/>
        </w:rPr>
        <w:t>物业内开展施工作业</w:t>
      </w:r>
      <w:r>
        <w:rPr>
          <w:rFonts w:hint="eastAsia" w:ascii="仿宋_GB2312" w:hAnsi="仿宋_GB2312" w:eastAsia="仿宋_GB2312" w:cs="仿宋_GB2312"/>
          <w:sz w:val="32"/>
          <w:szCs w:val="32"/>
          <w:highlight w:val="none"/>
        </w:rPr>
        <w:t>的现场人员资质、施工机具、安全防护用品等进行入场查验，不符合</w:t>
      </w:r>
      <w:r>
        <w:rPr>
          <w:rFonts w:hint="eastAsia" w:ascii="仿宋_GB2312" w:hAnsi="仿宋_GB2312" w:eastAsia="仿宋_GB2312" w:cs="仿宋_GB2312"/>
          <w:sz w:val="32"/>
          <w:szCs w:val="32"/>
          <w:highlight w:val="none"/>
          <w:lang w:eastAsia="zh-CN"/>
        </w:rPr>
        <w:t>国家标准、行业规范或甲方</w:t>
      </w:r>
      <w:r>
        <w:rPr>
          <w:rFonts w:hint="eastAsia" w:ascii="仿宋_GB2312" w:hAnsi="仿宋_GB2312" w:eastAsia="仿宋_GB2312" w:cs="仿宋_GB2312"/>
          <w:sz w:val="32"/>
          <w:szCs w:val="32"/>
          <w:highlight w:val="none"/>
        </w:rPr>
        <w:t>要求的，甲方有权拒绝其进入</w:t>
      </w:r>
      <w:r>
        <w:rPr>
          <w:rFonts w:hint="eastAsia" w:ascii="仿宋_GB2312" w:hAnsi="仿宋_GB2312" w:eastAsia="仿宋_GB2312" w:cs="仿宋_GB2312"/>
          <w:sz w:val="32"/>
          <w:szCs w:val="32"/>
          <w:highlight w:val="none"/>
          <w:lang w:val="en-US" w:eastAsia="zh-CN"/>
        </w:rPr>
        <w:t>施工</w:t>
      </w:r>
      <w:r>
        <w:rPr>
          <w:rFonts w:hint="eastAsia" w:ascii="仿宋_GB2312" w:hAnsi="仿宋_GB2312" w:eastAsia="仿宋_GB2312" w:cs="仿宋_GB2312"/>
          <w:sz w:val="32"/>
          <w:szCs w:val="32"/>
          <w:highlight w:val="none"/>
        </w:rPr>
        <w:t>现场</w:t>
      </w:r>
      <w:r>
        <w:rPr>
          <w:rFonts w:hint="eastAsia" w:ascii="仿宋_GB2312" w:hAnsi="仿宋_GB2312" w:eastAsia="仿宋_GB2312" w:cs="仿宋_GB2312"/>
          <w:sz w:val="32"/>
          <w:szCs w:val="32"/>
          <w:highlight w:val="none"/>
          <w:lang w:eastAsia="zh-CN"/>
        </w:rPr>
        <w:t>，且不因此承担任何责任</w:t>
      </w:r>
      <w:r>
        <w:rPr>
          <w:rFonts w:hint="eastAsia" w:ascii="仿宋_GB2312" w:hAnsi="仿宋_GB2312" w:eastAsia="仿宋_GB2312" w:cs="仿宋_GB2312"/>
          <w:sz w:val="32"/>
          <w:szCs w:val="32"/>
          <w:highlight w:val="none"/>
        </w:rPr>
        <w:t>。</w:t>
      </w:r>
    </w:p>
    <w:p w14:paraId="78AF0EE3">
      <w:pPr>
        <w:keepNext w:val="0"/>
        <w:keepLines w:val="0"/>
        <w:pageBreakBefore w:val="0"/>
        <w:overflowPunct w:val="0"/>
        <w:snapToGrid/>
        <w:spacing w:line="52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二</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甲方有权监督乙方</w:t>
      </w:r>
      <w:r>
        <w:rPr>
          <w:rFonts w:hint="eastAsia" w:ascii="仿宋_GB2312" w:hAnsi="仿宋_GB2312" w:eastAsia="仿宋_GB2312" w:cs="仿宋_GB2312"/>
          <w:color w:val="auto"/>
          <w:sz w:val="32"/>
          <w:szCs w:val="32"/>
          <w:highlight w:val="none"/>
        </w:rPr>
        <w:t>租赁物业范围内公共区域（不包含各承租单元内）的消防安全</w:t>
      </w:r>
      <w:r>
        <w:rPr>
          <w:rFonts w:hint="eastAsia" w:ascii="仿宋_GB2312" w:hAnsi="仿宋_GB2312" w:eastAsia="仿宋_GB2312" w:cs="仿宋_GB2312"/>
          <w:color w:val="auto"/>
          <w:sz w:val="32"/>
          <w:szCs w:val="32"/>
          <w:highlight w:val="none"/>
          <w:lang w:val="en-US" w:eastAsia="zh-CN"/>
        </w:rPr>
        <w:t>投入和管理情况</w:t>
      </w:r>
      <w:r>
        <w:rPr>
          <w:rFonts w:hint="eastAsia" w:ascii="仿宋_GB2312" w:hAnsi="仿宋_GB2312" w:eastAsia="仿宋_GB2312" w:cs="仿宋_GB2312"/>
          <w:color w:val="auto"/>
          <w:sz w:val="32"/>
          <w:szCs w:val="32"/>
          <w:highlight w:val="none"/>
        </w:rPr>
        <w:t>，甲方的监督义务不改变乙方作为承担责任主体的事实</w:t>
      </w:r>
      <w:r>
        <w:rPr>
          <w:rFonts w:hint="eastAsia" w:ascii="仿宋_GB2312" w:hAnsi="仿宋_GB2312" w:eastAsia="仿宋_GB2312" w:cs="仿宋_GB2312"/>
          <w:color w:val="auto"/>
          <w:sz w:val="32"/>
          <w:szCs w:val="32"/>
          <w:highlight w:val="none"/>
          <w:lang w:val="en-US" w:eastAsia="zh-CN"/>
        </w:rPr>
        <w:t>。甲方负责</w:t>
      </w:r>
      <w:r>
        <w:rPr>
          <w:rFonts w:hint="eastAsia" w:ascii="仿宋_GB2312" w:hAnsi="仿宋_GB2312" w:eastAsia="仿宋_GB2312" w:cs="仿宋_GB2312"/>
          <w:color w:val="auto"/>
          <w:sz w:val="32"/>
          <w:szCs w:val="32"/>
          <w:highlight w:val="none"/>
        </w:rPr>
        <w:t>房屋结构</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墙、梁、柱、楼板</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因自然损坏造成的损坏问题的修缮，加强消防安全巡查工作。</w:t>
      </w:r>
    </w:p>
    <w:p w14:paraId="361A50F3">
      <w:pPr>
        <w:keepNext w:val="0"/>
        <w:keepLines w:val="0"/>
        <w:pageBreakBefore w:val="0"/>
        <w:overflowPunct w:val="0"/>
        <w:snapToGrid/>
        <w:spacing w:line="52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三</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在任何时候，如遇火灾等紧急情况，甲方有权不经通知而进入乙方承租区域内采取紧急措施排除险情，且不承担因排除险情过程中应急处置而对乙方所造成的损失。乙方不得以此为由主张减免租金、要求赔偿或补偿等。</w:t>
      </w:r>
    </w:p>
    <w:p w14:paraId="4A1EBEDB">
      <w:pPr>
        <w:keepNext w:val="0"/>
        <w:keepLines w:val="0"/>
        <w:pageBreakBefore w:val="0"/>
        <w:overflowPunct w:val="0"/>
        <w:snapToGrid/>
        <w:spacing w:line="52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四</w:t>
      </w:r>
      <w:r>
        <w:rPr>
          <w:rFonts w:hint="eastAsia" w:ascii="仿宋_GB2312" w:hAnsi="仿宋_GB2312" w:eastAsia="仿宋_GB2312" w:cs="仿宋_GB2312"/>
          <w:sz w:val="32"/>
          <w:szCs w:val="32"/>
          <w:highlight w:val="none"/>
        </w:rPr>
        <w:t>）甲方有权对乙方作业</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营业</w:t>
      </w:r>
      <w:r>
        <w:rPr>
          <w:rFonts w:hint="eastAsia" w:ascii="仿宋_GB2312" w:hAnsi="仿宋_GB2312" w:eastAsia="仿宋_GB2312" w:cs="仿宋_GB2312"/>
          <w:sz w:val="32"/>
          <w:szCs w:val="32"/>
          <w:highlight w:val="none"/>
        </w:rPr>
        <w:t>现场进行日常安全巡查与专项安全检查</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对发现的各类事故隐患，有权以《安全隐患整改通知单》的形式要求乙方限期整改。乙方未在限期内完成整改</w:t>
      </w:r>
      <w:r>
        <w:rPr>
          <w:rFonts w:hint="eastAsia" w:ascii="仿宋_GB2312" w:hAnsi="仿宋_GB2312" w:eastAsia="仿宋_GB2312" w:cs="仿宋_GB2312"/>
          <w:sz w:val="32"/>
          <w:szCs w:val="32"/>
          <w:highlight w:val="none"/>
          <w:lang w:val="en-US" w:eastAsia="zh-CN"/>
        </w:rPr>
        <w:t>或整改不合格</w:t>
      </w:r>
      <w:r>
        <w:rPr>
          <w:rFonts w:hint="eastAsia" w:ascii="仿宋_GB2312" w:hAnsi="仿宋_GB2312" w:eastAsia="仿宋_GB2312" w:cs="仿宋_GB2312"/>
          <w:sz w:val="32"/>
          <w:szCs w:val="32"/>
          <w:highlight w:val="none"/>
        </w:rPr>
        <w:t>的，甲方有权</w:t>
      </w:r>
      <w:r>
        <w:rPr>
          <w:rFonts w:hint="eastAsia" w:ascii="仿宋_GB2312" w:hAnsi="仿宋_GB2312" w:eastAsia="仿宋_GB2312" w:cs="仿宋_GB2312"/>
          <w:sz w:val="32"/>
          <w:szCs w:val="32"/>
          <w:highlight w:val="none"/>
          <w:lang w:val="en-US" w:eastAsia="zh-CN"/>
        </w:rPr>
        <w:t>视紧急情况责令乙方立即停止施工作业或停业，自行或委托第三方采取紧急措施消除该隐患，所发生的全部费用由乙方承担</w:t>
      </w:r>
      <w:r>
        <w:rPr>
          <w:rFonts w:hint="eastAsia" w:ascii="仿宋_GB2312" w:hAnsi="仿宋_GB2312" w:eastAsia="仿宋_GB2312" w:cs="仿宋_GB2312"/>
          <w:sz w:val="32"/>
          <w:szCs w:val="32"/>
          <w:highlight w:val="none"/>
        </w:rPr>
        <w:t>。</w:t>
      </w:r>
    </w:p>
    <w:p w14:paraId="0475F5CA">
      <w:pPr>
        <w:keepNext w:val="0"/>
        <w:keepLines w:val="0"/>
        <w:pageBreakBefore w:val="0"/>
        <w:overflowPunct w:val="0"/>
        <w:snapToGrid/>
        <w:spacing w:line="52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五</w:t>
      </w:r>
      <w:r>
        <w:rPr>
          <w:rFonts w:hint="eastAsia" w:ascii="仿宋_GB2312" w:hAnsi="仿宋_GB2312" w:eastAsia="仿宋_GB2312" w:cs="仿宋_GB2312"/>
          <w:sz w:val="32"/>
          <w:szCs w:val="32"/>
          <w:highlight w:val="none"/>
        </w:rPr>
        <w:t>）甲方有权对乙方的安全教育培训记录、安全技术交底记录、特种作业人员资格证书等文件进行核查。</w:t>
      </w:r>
    </w:p>
    <w:p w14:paraId="571A9A90">
      <w:pPr>
        <w:keepNext w:val="0"/>
        <w:keepLines w:val="0"/>
        <w:pageBreakBefore w:val="0"/>
        <w:overflowPunct w:val="0"/>
        <w:snapToGrid/>
        <w:spacing w:line="520" w:lineRule="exact"/>
        <w:ind w:firstLine="640" w:firstLineChars="200"/>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六</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甲方工作人员在进行安全检查中，发现乙方存在</w:t>
      </w:r>
      <w:r>
        <w:rPr>
          <w:rFonts w:hint="eastAsia" w:ascii="仿宋_GB2312" w:hAnsi="仿宋_GB2312" w:eastAsia="仿宋_GB2312" w:cs="仿宋_GB2312"/>
          <w:sz w:val="32"/>
          <w:szCs w:val="32"/>
          <w:highlight w:val="none"/>
          <w:lang w:val="en-US" w:eastAsia="zh-CN"/>
        </w:rPr>
        <w:t>以下安全隐患的，甲方有权对乙方违约金进行扣罚：</w:t>
      </w:r>
    </w:p>
    <w:p w14:paraId="4EF4149F">
      <w:pPr>
        <w:keepNext w:val="0"/>
        <w:keepLines w:val="0"/>
        <w:pageBreakBefore w:val="0"/>
        <w:overflowPunct w:val="0"/>
        <w:snapToGrid/>
        <w:spacing w:line="52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乙方物品摆放于消防通道或其他未经允许的公共场所，每发现一次</w:t>
      </w:r>
      <w:r>
        <w:rPr>
          <w:rFonts w:hint="eastAsia" w:ascii="仿宋_GB2312" w:hAnsi="仿宋_GB2312" w:eastAsia="仿宋_GB2312" w:cs="仿宋_GB2312"/>
          <w:sz w:val="32"/>
          <w:szCs w:val="32"/>
          <w:highlight w:val="none"/>
          <w:lang w:val="en-US" w:eastAsia="zh-CN"/>
        </w:rPr>
        <w:t>扣罚50</w:t>
      </w:r>
      <w:r>
        <w:rPr>
          <w:rFonts w:hint="eastAsia" w:ascii="仿宋_GB2312" w:hAnsi="仿宋_GB2312" w:eastAsia="仿宋_GB2312" w:cs="仿宋_GB2312"/>
          <w:sz w:val="32"/>
          <w:szCs w:val="32"/>
          <w:highlight w:val="none"/>
        </w:rPr>
        <w:t>元。</w:t>
      </w:r>
    </w:p>
    <w:p w14:paraId="04C9380D">
      <w:pPr>
        <w:keepNext w:val="0"/>
        <w:keepLines w:val="0"/>
        <w:pageBreakBefore w:val="0"/>
        <w:overflowPunct w:val="0"/>
        <w:snapToGrid/>
        <w:spacing w:line="520" w:lineRule="exact"/>
        <w:ind w:firstLine="640" w:firstLineChars="200"/>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2.乙方从业人员在经营场所内违规进行吸烟，每发现一次扣罚50元。</w:t>
      </w:r>
    </w:p>
    <w:p w14:paraId="1EA55243">
      <w:pPr>
        <w:keepNext w:val="0"/>
        <w:keepLines w:val="0"/>
        <w:pageBreakBefore w:val="0"/>
        <w:overflowPunct w:val="0"/>
        <w:snapToGrid/>
        <w:spacing w:line="52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本条款情况发生时，乙方除承担扣罚金额外，还应该按照甲方要求进行限期整改，超过期限</w:t>
      </w:r>
      <w:r>
        <w:rPr>
          <w:rFonts w:hint="eastAsia" w:ascii="仿宋_GB2312" w:hAnsi="仿宋_GB2312" w:eastAsia="仿宋_GB2312" w:cs="仿宋_GB2312"/>
          <w:sz w:val="32"/>
          <w:szCs w:val="32"/>
          <w:highlight w:val="none"/>
          <w:lang w:eastAsia="zh-CN"/>
        </w:rPr>
        <w:t>未</w:t>
      </w:r>
      <w:r>
        <w:rPr>
          <w:rFonts w:hint="eastAsia" w:ascii="仿宋_GB2312" w:hAnsi="仿宋_GB2312" w:eastAsia="仿宋_GB2312" w:cs="仿宋_GB2312"/>
          <w:sz w:val="32"/>
          <w:szCs w:val="32"/>
          <w:highlight w:val="none"/>
        </w:rPr>
        <w:t>整改</w:t>
      </w:r>
      <w:r>
        <w:rPr>
          <w:rFonts w:hint="eastAsia" w:ascii="仿宋_GB2312" w:hAnsi="仿宋_GB2312" w:eastAsia="仿宋_GB2312" w:cs="仿宋_GB2312"/>
          <w:sz w:val="32"/>
          <w:szCs w:val="32"/>
          <w:highlight w:val="none"/>
          <w:lang w:eastAsia="zh-CN"/>
        </w:rPr>
        <w:t>完毕</w:t>
      </w:r>
      <w:r>
        <w:rPr>
          <w:rFonts w:hint="eastAsia" w:ascii="仿宋_GB2312" w:hAnsi="仿宋_GB2312" w:eastAsia="仿宋_GB2312" w:cs="仿宋_GB2312"/>
          <w:sz w:val="32"/>
          <w:szCs w:val="32"/>
          <w:highlight w:val="none"/>
        </w:rPr>
        <w:t>的、拒不整改的或再次违反的，应按相应扣罚金额的2倍向甲方支付违约金，并视同乙方严重违反合同规定，乙方需承担由此造成的一切后果。若乙方有违反甲方管理规定的其他行为发生，甲方有权根据实际情况对乙方作出处罚措施。</w:t>
      </w:r>
    </w:p>
    <w:p w14:paraId="44EBF9E5">
      <w:pPr>
        <w:keepNext w:val="0"/>
        <w:keepLines w:val="0"/>
        <w:pageBreakBefore w:val="0"/>
        <w:overflowPunct w:val="0"/>
        <w:snapToGrid/>
        <w:spacing w:line="52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发生消防事故、治安事件，及时向上级主管部门报告，配合有关部门进行调查和处理。</w:t>
      </w:r>
    </w:p>
    <w:p w14:paraId="39E91B6C">
      <w:pPr>
        <w:keepNext w:val="0"/>
        <w:keepLines w:val="0"/>
        <w:pageBreakBefore w:val="0"/>
        <w:overflowPunct w:val="0"/>
        <w:snapToGrid/>
        <w:spacing w:line="52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八</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配合公安机关、消防部门及其他执法机关对消防违法犯罪案件进行调查取证等工作。</w:t>
      </w:r>
    </w:p>
    <w:p w14:paraId="094DFD3A">
      <w:pPr>
        <w:keepNext w:val="0"/>
        <w:keepLines w:val="0"/>
        <w:pageBreakBefore w:val="0"/>
        <w:overflowPunct w:val="0"/>
        <w:snapToGrid/>
        <w:spacing w:line="52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九</w:t>
      </w:r>
      <w:r>
        <w:rPr>
          <w:rFonts w:hint="eastAsia" w:ascii="仿宋_GB2312" w:hAnsi="仿宋_GB2312" w:eastAsia="仿宋_GB2312" w:cs="仿宋_GB2312"/>
          <w:sz w:val="32"/>
          <w:szCs w:val="32"/>
          <w:highlight w:val="none"/>
        </w:rPr>
        <w:t>）法律法规规定的其他属于甲方的</w:t>
      </w:r>
      <w:r>
        <w:rPr>
          <w:rFonts w:hint="eastAsia" w:ascii="仿宋_GB2312" w:hAnsi="仿宋_GB2312" w:eastAsia="仿宋_GB2312" w:cs="仿宋_GB2312"/>
          <w:sz w:val="32"/>
          <w:szCs w:val="32"/>
          <w:highlight w:val="none"/>
          <w:lang w:eastAsia="zh-CN"/>
        </w:rPr>
        <w:t>安全生产管理职责和</w:t>
      </w:r>
      <w:r>
        <w:rPr>
          <w:rFonts w:hint="eastAsia" w:ascii="仿宋_GB2312" w:hAnsi="仿宋_GB2312" w:eastAsia="仿宋_GB2312" w:cs="仿宋_GB2312"/>
          <w:sz w:val="32"/>
          <w:szCs w:val="32"/>
          <w:highlight w:val="none"/>
        </w:rPr>
        <w:t>义务。</w:t>
      </w:r>
    </w:p>
    <w:p w14:paraId="4F8D33BE">
      <w:pPr>
        <w:keepNext w:val="0"/>
        <w:keepLines w:val="0"/>
        <w:pageBreakBefore w:val="0"/>
        <w:overflowPunct w:val="0"/>
        <w:snapToGrid/>
        <w:spacing w:line="520" w:lineRule="exact"/>
        <w:ind w:left="0" w:leftChars="0" w:firstLine="640" w:firstLineChars="200"/>
        <w:rPr>
          <w:rFonts w:hint="eastAsia" w:ascii="黑体" w:hAnsi="黑体" w:eastAsia="黑体" w:cs="黑体"/>
          <w:sz w:val="32"/>
          <w:szCs w:val="32"/>
          <w:highlight w:val="none"/>
        </w:rPr>
      </w:pPr>
      <w:r>
        <w:rPr>
          <w:rFonts w:hint="eastAsia" w:ascii="黑体" w:hAnsi="黑体" w:eastAsia="黑体" w:cs="黑体"/>
          <w:sz w:val="32"/>
          <w:szCs w:val="32"/>
          <w:highlight w:val="none"/>
          <w:lang w:val="en-US" w:eastAsia="zh-CN"/>
        </w:rPr>
        <w:t>四</w:t>
      </w:r>
      <w:r>
        <w:rPr>
          <w:rFonts w:hint="eastAsia" w:ascii="黑体" w:hAnsi="黑体" w:eastAsia="黑体" w:cs="黑体"/>
          <w:sz w:val="32"/>
          <w:szCs w:val="32"/>
          <w:highlight w:val="none"/>
        </w:rPr>
        <w:t>、乙方权利与义务</w:t>
      </w:r>
    </w:p>
    <w:p w14:paraId="60A7AA53">
      <w:pPr>
        <w:keepNext w:val="0"/>
        <w:keepLines w:val="0"/>
        <w:pageBreakBefore w:val="0"/>
        <w:overflowPunct w:val="0"/>
        <w:snapToGrid/>
        <w:spacing w:line="52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（一）乙方</w:t>
      </w:r>
      <w:r>
        <w:rPr>
          <w:rFonts w:hint="eastAsia" w:ascii="仿宋_GB2312" w:hAnsi="仿宋_GB2312" w:eastAsia="仿宋_GB2312" w:cs="仿宋_GB2312"/>
          <w:sz w:val="32"/>
          <w:szCs w:val="32"/>
          <w:highlight w:val="none"/>
          <w:lang w:val="en-US" w:eastAsia="zh-CN"/>
        </w:rPr>
        <w:t>声明并保证，其</w:t>
      </w:r>
      <w:r>
        <w:rPr>
          <w:rFonts w:hint="eastAsia" w:ascii="仿宋_GB2312" w:hAnsi="仿宋_GB2312" w:eastAsia="仿宋_GB2312" w:cs="仿宋_GB2312"/>
          <w:sz w:val="32"/>
          <w:szCs w:val="32"/>
          <w:highlight w:val="none"/>
        </w:rPr>
        <w:t>具备在本协议项下从事相关作业</w:t>
      </w:r>
      <w:r>
        <w:rPr>
          <w:rFonts w:hint="eastAsia" w:ascii="仿宋_GB2312" w:hAnsi="仿宋_GB2312" w:eastAsia="仿宋_GB2312" w:cs="仿宋_GB2312"/>
          <w:sz w:val="32"/>
          <w:szCs w:val="32"/>
          <w:highlight w:val="none"/>
          <w:lang w:eastAsia="zh-CN"/>
        </w:rPr>
        <w:t>或</w:t>
      </w:r>
      <w:r>
        <w:rPr>
          <w:rFonts w:hint="eastAsia" w:ascii="仿宋_GB2312" w:hAnsi="仿宋_GB2312" w:eastAsia="仿宋_GB2312" w:cs="仿宋_GB2312"/>
          <w:sz w:val="32"/>
          <w:szCs w:val="32"/>
          <w:highlight w:val="none"/>
          <w:lang w:val="en-US" w:eastAsia="zh-CN"/>
        </w:rPr>
        <w:t>业务</w:t>
      </w:r>
      <w:r>
        <w:rPr>
          <w:rFonts w:hint="eastAsia" w:ascii="仿宋_GB2312" w:hAnsi="仿宋_GB2312" w:eastAsia="仿宋_GB2312" w:cs="仿宋_GB2312"/>
          <w:sz w:val="32"/>
          <w:szCs w:val="32"/>
          <w:highlight w:val="none"/>
        </w:rPr>
        <w:t>的</w:t>
      </w:r>
      <w:r>
        <w:rPr>
          <w:rFonts w:hint="eastAsia" w:ascii="仿宋_GB2312" w:hAnsi="仿宋_GB2312" w:eastAsia="仿宋_GB2312" w:cs="仿宋_GB2312"/>
          <w:sz w:val="32"/>
          <w:szCs w:val="32"/>
          <w:highlight w:val="none"/>
          <w:lang w:val="en-US" w:eastAsia="zh-CN"/>
        </w:rPr>
        <w:t>全部</w:t>
      </w:r>
      <w:r>
        <w:rPr>
          <w:rFonts w:hint="eastAsia" w:ascii="仿宋_GB2312" w:hAnsi="仿宋_GB2312" w:eastAsia="仿宋_GB2312" w:cs="仿宋_GB2312"/>
          <w:sz w:val="32"/>
          <w:szCs w:val="32"/>
          <w:highlight w:val="none"/>
        </w:rPr>
        <w:t>法定资质与安全生产条件。</w:t>
      </w:r>
    </w:p>
    <w:p w14:paraId="20EC6116">
      <w:pPr>
        <w:keepNext w:val="0"/>
        <w:keepLines w:val="0"/>
        <w:pageBreakBefore w:val="0"/>
        <w:overflowPunct w:val="0"/>
        <w:snapToGrid/>
        <w:spacing w:line="52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（二）乙方必须按照规定配备专职或兼职的安全生产管理人员。</w:t>
      </w:r>
    </w:p>
    <w:p w14:paraId="649899B5">
      <w:pPr>
        <w:keepNext w:val="0"/>
        <w:keepLines w:val="0"/>
        <w:pageBreakBefore w:val="0"/>
        <w:overflowPunct w:val="0"/>
        <w:snapToGrid/>
        <w:spacing w:line="52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（三）乙方必须确保其派驻人员（包括但不限于项目负责人、技术人员、安全管理人员、作业人员</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工作人员</w:t>
      </w:r>
      <w:r>
        <w:rPr>
          <w:rFonts w:hint="eastAsia" w:ascii="仿宋_GB2312" w:hAnsi="仿宋_GB2312" w:eastAsia="仿宋_GB2312" w:cs="仿宋_GB2312"/>
          <w:sz w:val="32"/>
          <w:szCs w:val="32"/>
          <w:highlight w:val="none"/>
        </w:rPr>
        <w:t>）符合相关法律法规要求的资格和能力。乙方项目负责人、专职安全管理人员必须具备有效的安全生产考核合格证书；特种作业人员必须持有效的特种作业操作资格证书上岗。乙方必须向甲方提供上述人员资格证书的复印件并加盖公章备案。具体以甲方要求为准。</w:t>
      </w:r>
    </w:p>
    <w:p w14:paraId="75862CF3">
      <w:pPr>
        <w:keepNext w:val="0"/>
        <w:keepLines w:val="0"/>
        <w:pageBreakBefore w:val="0"/>
        <w:overflowPunct w:val="0"/>
        <w:snapToGrid/>
        <w:spacing w:line="52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（四）乙方必须依法</w:t>
      </w:r>
      <w:r>
        <w:rPr>
          <w:rFonts w:hint="eastAsia" w:ascii="仿宋_GB2312" w:hAnsi="仿宋_GB2312" w:eastAsia="仿宋_GB2312" w:cs="仿宋_GB2312"/>
          <w:sz w:val="32"/>
          <w:szCs w:val="32"/>
          <w:highlight w:val="none"/>
          <w:lang w:val="en-US" w:eastAsia="zh-CN"/>
        </w:rPr>
        <w:t>落实</w:t>
      </w:r>
      <w:r>
        <w:rPr>
          <w:rFonts w:hint="eastAsia" w:ascii="仿宋_GB2312" w:hAnsi="仿宋_GB2312" w:eastAsia="仿宋_GB2312" w:cs="仿宋_GB2312"/>
          <w:sz w:val="32"/>
          <w:szCs w:val="32"/>
          <w:highlight w:val="none"/>
        </w:rPr>
        <w:t>与本单位从业</w:t>
      </w:r>
      <w:r>
        <w:rPr>
          <w:rFonts w:hint="eastAsia" w:ascii="仿宋_GB2312" w:hAnsi="仿宋_GB2312" w:eastAsia="仿宋_GB2312" w:cs="仿宋_GB2312"/>
          <w:sz w:val="32"/>
          <w:szCs w:val="32"/>
          <w:highlight w:val="none"/>
          <w:lang w:val="en-US" w:eastAsia="zh-CN"/>
        </w:rPr>
        <w:t>人员</w:t>
      </w:r>
      <w:r>
        <w:rPr>
          <w:rFonts w:hint="eastAsia" w:ascii="仿宋_GB2312" w:hAnsi="仿宋_GB2312" w:eastAsia="仿宋_GB2312" w:cs="仿宋_GB2312"/>
          <w:sz w:val="32"/>
          <w:szCs w:val="32"/>
          <w:highlight w:val="none"/>
        </w:rPr>
        <w:t>签订</w:t>
      </w:r>
      <w:r>
        <w:rPr>
          <w:rFonts w:hint="eastAsia" w:ascii="仿宋_GB2312" w:hAnsi="仿宋_GB2312" w:eastAsia="仿宋_GB2312" w:cs="仿宋_GB2312"/>
          <w:sz w:val="32"/>
          <w:szCs w:val="32"/>
          <w:highlight w:val="none"/>
          <w:lang w:val="en-US" w:eastAsia="zh-CN"/>
        </w:rPr>
        <w:t>劳动</w:t>
      </w:r>
      <w:r>
        <w:rPr>
          <w:rFonts w:hint="eastAsia" w:ascii="仿宋_GB2312" w:hAnsi="仿宋_GB2312" w:eastAsia="仿宋_GB2312" w:cs="仿宋_GB2312"/>
          <w:sz w:val="32"/>
          <w:szCs w:val="32"/>
          <w:highlight w:val="none"/>
        </w:rPr>
        <w:t>合同，</w:t>
      </w:r>
      <w:r>
        <w:rPr>
          <w:rFonts w:hint="eastAsia" w:ascii="仿宋_GB2312" w:hAnsi="仿宋_GB2312" w:eastAsia="仿宋_GB2312" w:cs="仿宋_GB2312"/>
          <w:sz w:val="32"/>
          <w:szCs w:val="32"/>
          <w:highlight w:val="none"/>
          <w:lang w:eastAsia="zh-CN"/>
        </w:rPr>
        <w:t>并足额</w:t>
      </w:r>
      <w:r>
        <w:rPr>
          <w:rFonts w:hint="default" w:ascii="仿宋_GB2312" w:hAnsi="仿宋_GB2312" w:eastAsia="仿宋_GB2312" w:cs="仿宋_GB2312"/>
          <w:sz w:val="32"/>
          <w:szCs w:val="32"/>
          <w:highlight w:val="none"/>
        </w:rPr>
        <w:t>为其缴纳工伤保险（或包含工伤责任的</w:t>
      </w:r>
      <w:r>
        <w:rPr>
          <w:rFonts w:hint="eastAsia" w:ascii="仿宋_GB2312" w:hAnsi="仿宋_GB2312" w:eastAsia="仿宋_GB2312" w:cs="仿宋_GB2312"/>
          <w:sz w:val="32"/>
          <w:szCs w:val="32"/>
          <w:highlight w:val="none"/>
        </w:rPr>
        <w:t>意外伤害险），并在人员入场前向甲方提交准确的现场</w:t>
      </w:r>
      <w:r>
        <w:rPr>
          <w:rFonts w:hint="eastAsia" w:ascii="仿宋_GB2312" w:hAnsi="仿宋_GB2312" w:eastAsia="仿宋_GB2312" w:cs="仿宋_GB2312"/>
          <w:sz w:val="32"/>
          <w:szCs w:val="32"/>
          <w:highlight w:val="none"/>
          <w:lang w:val="en-US" w:eastAsia="zh-CN"/>
        </w:rPr>
        <w:t>从业人员</w:t>
      </w:r>
      <w:r>
        <w:rPr>
          <w:rFonts w:hint="eastAsia" w:ascii="仿宋_GB2312" w:hAnsi="仿宋_GB2312" w:eastAsia="仿宋_GB2312" w:cs="仿宋_GB2312"/>
          <w:sz w:val="32"/>
          <w:szCs w:val="32"/>
          <w:highlight w:val="none"/>
        </w:rPr>
        <w:t>人员名册及保险证明。作业</w:t>
      </w:r>
      <w:r>
        <w:rPr>
          <w:rFonts w:hint="eastAsia" w:ascii="仿宋_GB2312" w:hAnsi="仿宋_GB2312" w:eastAsia="仿宋_GB2312" w:cs="仿宋_GB2312"/>
          <w:sz w:val="32"/>
          <w:szCs w:val="32"/>
          <w:highlight w:val="none"/>
          <w:lang w:val="en-US" w:eastAsia="zh-CN"/>
        </w:rPr>
        <w:t>/营业</w:t>
      </w:r>
      <w:r>
        <w:rPr>
          <w:rFonts w:hint="eastAsia" w:ascii="仿宋_GB2312" w:hAnsi="仿宋_GB2312" w:eastAsia="仿宋_GB2312" w:cs="仿宋_GB2312"/>
          <w:sz w:val="32"/>
          <w:szCs w:val="32"/>
          <w:highlight w:val="none"/>
        </w:rPr>
        <w:t>过程中人员发生变动的，</w:t>
      </w:r>
      <w:r>
        <w:rPr>
          <w:rFonts w:hint="eastAsia" w:ascii="仿宋_GB2312" w:hAnsi="仿宋_GB2312" w:eastAsia="仿宋_GB2312" w:cs="仿宋_GB2312"/>
          <w:sz w:val="32"/>
          <w:szCs w:val="32"/>
          <w:highlight w:val="none"/>
          <w:lang w:eastAsia="zh-CN"/>
        </w:rPr>
        <w:t>乙方应在变动当日</w:t>
      </w:r>
      <w:r>
        <w:rPr>
          <w:rFonts w:hint="eastAsia" w:ascii="仿宋_GB2312" w:hAnsi="仿宋_GB2312" w:eastAsia="仿宋_GB2312" w:cs="仿宋_GB2312"/>
          <w:sz w:val="32"/>
          <w:szCs w:val="32"/>
          <w:highlight w:val="none"/>
        </w:rPr>
        <w:t>立即书面通知甲方</w:t>
      </w:r>
      <w:r>
        <w:rPr>
          <w:rFonts w:hint="eastAsia" w:ascii="仿宋_GB2312" w:hAnsi="仿宋_GB2312" w:eastAsia="仿宋_GB2312" w:cs="仿宋_GB2312"/>
          <w:sz w:val="32"/>
          <w:szCs w:val="32"/>
          <w:highlight w:val="none"/>
          <w:lang w:eastAsia="zh-CN"/>
        </w:rPr>
        <w:t>并更新名册</w:t>
      </w:r>
      <w:r>
        <w:rPr>
          <w:rFonts w:hint="eastAsia" w:ascii="仿宋_GB2312" w:hAnsi="仿宋_GB2312" w:eastAsia="仿宋_GB2312" w:cs="仿宋_GB2312"/>
          <w:sz w:val="32"/>
          <w:szCs w:val="32"/>
          <w:highlight w:val="none"/>
        </w:rPr>
        <w:t>。</w:t>
      </w:r>
    </w:p>
    <w:p w14:paraId="692DEE07">
      <w:pPr>
        <w:pStyle w:val="2"/>
        <w:numPr>
          <w:ilvl w:val="-1"/>
          <w:numId w:val="0"/>
        </w:numPr>
        <w:spacing w:line="520" w:lineRule="exact"/>
        <w:ind w:left="0" w:leftChars="0"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sz w:val="32"/>
          <w:szCs w:val="32"/>
          <w:highlight w:val="none"/>
        </w:rPr>
        <w:t>（五）</w:t>
      </w:r>
      <w:r>
        <w:rPr>
          <w:rFonts w:hint="eastAsia" w:ascii="仿宋_GB2312" w:hAnsi="仿宋_GB2312" w:eastAsia="仿宋_GB2312" w:cs="仿宋_GB2312"/>
          <w:sz w:val="32"/>
          <w:szCs w:val="32"/>
          <w:highlight w:val="none"/>
          <w:lang w:val="en-US" w:eastAsia="zh-CN"/>
        </w:rPr>
        <w:t>乙方应对物业</w:t>
      </w:r>
      <w:r>
        <w:rPr>
          <w:rFonts w:hint="eastAsia" w:ascii="仿宋_GB2312" w:hAnsi="仿宋_GB2312" w:eastAsia="仿宋_GB2312" w:cs="仿宋_GB2312"/>
          <w:sz w:val="32"/>
          <w:szCs w:val="32"/>
          <w:highlight w:val="none"/>
        </w:rPr>
        <w:t>内部消防设施、设备、器材进行检查和保养，</w:t>
      </w:r>
      <w:r>
        <w:rPr>
          <w:rFonts w:hint="eastAsia" w:ascii="仿宋_GB2312" w:hAnsi="仿宋_GB2312" w:eastAsia="仿宋_GB2312" w:cs="仿宋_GB2312"/>
          <w:sz w:val="32"/>
          <w:szCs w:val="32"/>
          <w:highlight w:val="none"/>
          <w:lang w:val="en-US" w:eastAsia="zh-CN"/>
        </w:rPr>
        <w:t>确保消防</w:t>
      </w:r>
      <w:r>
        <w:rPr>
          <w:rFonts w:hint="eastAsia" w:ascii="仿宋_GB2312" w:hAnsi="仿宋_GB2312" w:eastAsia="仿宋_GB2312" w:cs="仿宋_GB2312"/>
          <w:sz w:val="32"/>
          <w:szCs w:val="32"/>
          <w:highlight w:val="none"/>
        </w:rPr>
        <w:t>设施</w:t>
      </w:r>
      <w:r>
        <w:rPr>
          <w:rFonts w:hint="eastAsia" w:ascii="仿宋_GB2312" w:hAnsi="仿宋_GB2312" w:eastAsia="仿宋_GB2312" w:cs="仿宋_GB2312"/>
          <w:sz w:val="32"/>
          <w:szCs w:val="32"/>
          <w:highlight w:val="none"/>
          <w:lang w:val="en-US" w:eastAsia="zh-CN"/>
        </w:rPr>
        <w:t>齐备并确保物</w:t>
      </w:r>
      <w:r>
        <w:rPr>
          <w:rFonts w:hint="eastAsia" w:ascii="仿宋_GB2312" w:hAnsi="仿宋_GB2312" w:eastAsia="仿宋_GB2312" w:cs="仿宋_GB2312"/>
          <w:sz w:val="32"/>
          <w:szCs w:val="32"/>
          <w:highlight w:val="none"/>
        </w:rPr>
        <w:t>防疏散通道畅通，并承担</w:t>
      </w:r>
      <w:r>
        <w:rPr>
          <w:rFonts w:hint="eastAsia" w:ascii="仿宋_GB2312" w:hAnsi="仿宋_GB2312" w:eastAsia="仿宋_GB2312" w:cs="仿宋_GB2312"/>
          <w:sz w:val="32"/>
          <w:szCs w:val="32"/>
          <w:highlight w:val="none"/>
          <w:lang w:val="en-US" w:eastAsia="zh-CN"/>
        </w:rPr>
        <w:t>全部</w:t>
      </w:r>
      <w:r>
        <w:rPr>
          <w:rFonts w:hint="eastAsia" w:ascii="仿宋_GB2312" w:hAnsi="仿宋_GB2312" w:eastAsia="仿宋_GB2312" w:cs="仿宋_GB2312"/>
          <w:sz w:val="32"/>
          <w:szCs w:val="32"/>
          <w:highlight w:val="none"/>
        </w:rPr>
        <w:t>安全责任。</w:t>
      </w:r>
    </w:p>
    <w:p w14:paraId="323CECAC">
      <w:pPr>
        <w:keepNext w:val="0"/>
        <w:keepLines w:val="0"/>
        <w:pageBreakBefore w:val="0"/>
        <w:overflowPunct w:val="0"/>
        <w:snapToGrid/>
        <w:spacing w:line="520" w:lineRule="exact"/>
        <w:ind w:firstLine="640" w:firstLineChars="200"/>
        <w:rPr>
          <w:rFonts w:hint="eastAsia" w:ascii="仿宋_GB2312" w:hAnsi="仿宋_GB2312" w:eastAsia="仿宋_GB2312" w:cs="仿宋_GB2312"/>
          <w:sz w:val="32"/>
          <w:szCs w:val="32"/>
          <w:highlight w:val="none"/>
        </w:rPr>
      </w:pPr>
      <w:bookmarkStart w:id="0" w:name="_GoBack"/>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六</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乙方</w:t>
      </w:r>
      <w:r>
        <w:rPr>
          <w:rFonts w:hint="eastAsia" w:ascii="仿宋_GB2312" w:hAnsi="仿宋_GB2312" w:eastAsia="仿宋_GB2312" w:cs="仿宋_GB2312"/>
          <w:sz w:val="32"/>
          <w:szCs w:val="32"/>
          <w:highlight w:val="none"/>
          <w:lang w:val="en-US" w:eastAsia="zh-CN"/>
        </w:rPr>
        <w:t>须配合</w:t>
      </w:r>
      <w:r>
        <w:rPr>
          <w:rFonts w:hint="eastAsia" w:ascii="仿宋_GB2312" w:hAnsi="仿宋_GB2312" w:eastAsia="仿宋_GB2312" w:cs="仿宋_GB2312"/>
          <w:sz w:val="32"/>
          <w:szCs w:val="32"/>
          <w:highlight w:val="none"/>
        </w:rPr>
        <w:t>甲方要求，对本</w:t>
      </w:r>
      <w:r>
        <w:rPr>
          <w:rFonts w:hint="eastAsia" w:ascii="仿宋_GB2312" w:hAnsi="仿宋_GB2312" w:eastAsia="仿宋_GB2312" w:cs="仿宋_GB2312"/>
          <w:sz w:val="32"/>
          <w:szCs w:val="32"/>
          <w:highlight w:val="none"/>
          <w:lang w:val="en-US" w:eastAsia="zh-CN"/>
        </w:rPr>
        <w:t>物业</w:t>
      </w:r>
      <w:r>
        <w:rPr>
          <w:rFonts w:hint="eastAsia" w:ascii="仿宋_GB2312" w:hAnsi="仿宋_GB2312" w:eastAsia="仿宋_GB2312" w:cs="仿宋_GB2312"/>
          <w:sz w:val="32"/>
          <w:szCs w:val="32"/>
          <w:highlight w:val="none"/>
        </w:rPr>
        <w:t>所有作业</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营业</w:t>
      </w:r>
      <w:r>
        <w:rPr>
          <w:rFonts w:hint="eastAsia" w:ascii="仿宋_GB2312" w:hAnsi="仿宋_GB2312" w:eastAsia="仿宋_GB2312" w:cs="仿宋_GB2312"/>
          <w:sz w:val="32"/>
          <w:szCs w:val="32"/>
          <w:highlight w:val="none"/>
        </w:rPr>
        <w:t>人员进行全面的三级安全教育和考核，保存完整的教育和考核记录备查。未经教育培训或考核不合格的人员，不得上岗作业。</w:t>
      </w:r>
    </w:p>
    <w:p w14:paraId="49BF5C94">
      <w:pPr>
        <w:keepNext w:val="0"/>
        <w:keepLines w:val="0"/>
        <w:pageBreakBefore w:val="0"/>
        <w:overflowPunct w:val="0"/>
        <w:snapToGrid/>
        <w:spacing w:line="520" w:lineRule="exact"/>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七</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乙方负责</w:t>
      </w:r>
      <w:r>
        <w:rPr>
          <w:rFonts w:hint="eastAsia" w:ascii="仿宋_GB2312" w:hAnsi="仿宋_GB2312" w:eastAsia="仿宋_GB2312" w:cs="仿宋_GB2312"/>
          <w:sz w:val="32"/>
          <w:szCs w:val="32"/>
          <w:highlight w:val="none"/>
          <w:lang w:val="en-US" w:eastAsia="zh-CN"/>
        </w:rPr>
        <w:t>为其聘请的第三方施工单位，在作业前向甲方提出特种作业审批申请，并编制专项施工方案及安全技术措施，且严格依照方案组织施工。</w:t>
      </w:r>
    </w:p>
    <w:bookmarkEnd w:id="0"/>
    <w:p w14:paraId="7299EF4F">
      <w:pPr>
        <w:keepNext w:val="0"/>
        <w:keepLines w:val="0"/>
        <w:pageBreakBefore w:val="0"/>
        <w:overflowPunct w:val="0"/>
        <w:snapToGrid/>
        <w:spacing w:line="52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八</w:t>
      </w:r>
      <w:r>
        <w:rPr>
          <w:rFonts w:hint="eastAsia" w:ascii="仿宋_GB2312" w:hAnsi="仿宋_GB2312" w:eastAsia="仿宋_GB2312" w:cs="仿宋_GB2312"/>
          <w:sz w:val="32"/>
          <w:szCs w:val="32"/>
          <w:highlight w:val="none"/>
        </w:rPr>
        <w:t>）乙方负责根据甲方的安全交底，结合具体作业</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业务</w:t>
      </w:r>
      <w:r>
        <w:rPr>
          <w:rFonts w:hint="eastAsia" w:ascii="仿宋_GB2312" w:hAnsi="仿宋_GB2312" w:eastAsia="仿宋_GB2312" w:cs="仿宋_GB2312"/>
          <w:sz w:val="32"/>
          <w:szCs w:val="32"/>
          <w:highlight w:val="none"/>
        </w:rPr>
        <w:t>内容，对作业人员进行详细的班前安全技术交底，告知危险因素、操作规程和应急措施，并由交底人和被交底人双方签字确认。</w:t>
      </w:r>
    </w:p>
    <w:p w14:paraId="006F1871">
      <w:pPr>
        <w:keepNext w:val="0"/>
        <w:keepLines w:val="0"/>
        <w:pageBreakBefore w:val="0"/>
        <w:overflowPunct w:val="0"/>
        <w:snapToGrid/>
        <w:spacing w:line="52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九</w:t>
      </w:r>
      <w:r>
        <w:rPr>
          <w:rFonts w:hint="eastAsia" w:ascii="仿宋_GB2312" w:hAnsi="仿宋_GB2312" w:eastAsia="仿宋_GB2312" w:cs="仿宋_GB2312"/>
          <w:sz w:val="32"/>
          <w:szCs w:val="32"/>
          <w:highlight w:val="none"/>
        </w:rPr>
        <w:t>）乙方负责为其作业</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营业</w:t>
      </w:r>
      <w:r>
        <w:rPr>
          <w:rFonts w:hint="eastAsia" w:ascii="仿宋_GB2312" w:hAnsi="仿宋_GB2312" w:eastAsia="仿宋_GB2312" w:cs="仿宋_GB2312"/>
          <w:sz w:val="32"/>
          <w:szCs w:val="32"/>
          <w:highlight w:val="none"/>
        </w:rPr>
        <w:t>人员提供符合国家标准或行业标准的劳动防护用品，并监督、教育从业人员按照使用规则正确佩戴、使用。</w:t>
      </w:r>
      <w:r>
        <w:rPr>
          <w:rFonts w:hint="eastAsia" w:ascii="仿宋_GB2312" w:hAnsi="仿宋_GB2312" w:eastAsia="仿宋_GB2312" w:cs="仿宋_GB2312"/>
          <w:sz w:val="32"/>
          <w:szCs w:val="32"/>
          <w:highlight w:val="none"/>
          <w:lang w:eastAsia="zh-CN"/>
        </w:rPr>
        <w:t>未按规定佩戴防护用品的人员，乙方应禁止其进入作业区域。</w:t>
      </w:r>
    </w:p>
    <w:p w14:paraId="30099B50">
      <w:pPr>
        <w:keepNext w:val="0"/>
        <w:keepLines w:val="0"/>
        <w:pageBreakBefore w:val="0"/>
        <w:overflowPunct w:val="0"/>
        <w:snapToGrid/>
        <w:spacing w:line="52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十</w:t>
      </w:r>
      <w:r>
        <w:rPr>
          <w:rFonts w:hint="eastAsia" w:ascii="仿宋_GB2312" w:hAnsi="仿宋_GB2312" w:eastAsia="仿宋_GB2312" w:cs="仿宋_GB2312"/>
          <w:sz w:val="32"/>
          <w:szCs w:val="32"/>
          <w:highlight w:val="none"/>
        </w:rPr>
        <w:t>）乙方自带的施工机具、设备、设施、材料等，必须符合国家安全标准，并</w:t>
      </w:r>
      <w:r>
        <w:rPr>
          <w:rFonts w:hint="eastAsia" w:ascii="仿宋_GB2312" w:hAnsi="仿宋_GB2312" w:eastAsia="仿宋_GB2312" w:cs="仿宋_GB2312"/>
          <w:sz w:val="32"/>
          <w:szCs w:val="32"/>
          <w:highlight w:val="none"/>
          <w:lang w:val="en-US" w:eastAsia="zh-CN"/>
        </w:rPr>
        <w:t>随时接受甲方的监督检查</w:t>
      </w:r>
      <w:r>
        <w:rPr>
          <w:rFonts w:hint="eastAsia" w:ascii="仿宋_GB2312" w:hAnsi="仿宋_GB2312" w:eastAsia="仿宋_GB2312" w:cs="仿宋_GB2312"/>
          <w:sz w:val="32"/>
          <w:szCs w:val="32"/>
          <w:highlight w:val="none"/>
        </w:rPr>
        <w:t>。乙方负责其日常检查、维护和保养，确保其安全性能可靠。</w:t>
      </w:r>
    </w:p>
    <w:p w14:paraId="3812EFFA">
      <w:pPr>
        <w:keepNext w:val="0"/>
        <w:keepLines w:val="0"/>
        <w:pageBreakBefore w:val="0"/>
        <w:overflowPunct w:val="0"/>
        <w:snapToGrid/>
        <w:spacing w:line="52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（十</w:t>
      </w:r>
      <w:r>
        <w:rPr>
          <w:rFonts w:hint="eastAsia"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sz w:val="32"/>
          <w:szCs w:val="32"/>
          <w:highlight w:val="none"/>
        </w:rPr>
        <w:t>）乙方必须在其责任区域内设置必要的安全警示标志，并负责对甲方移交的或自行搭设的安全防护设施进行日常维护与管理，确保其完好有效。未经甲方书面批准，不得擅自拆除、移动任何安全防护设施。</w:t>
      </w:r>
    </w:p>
    <w:p w14:paraId="655112F3">
      <w:pPr>
        <w:keepNext w:val="0"/>
        <w:keepLines w:val="0"/>
        <w:pageBreakBefore w:val="0"/>
        <w:overflowPunct w:val="0"/>
        <w:snapToGrid/>
        <w:spacing w:line="52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（十</w:t>
      </w:r>
      <w:r>
        <w:rPr>
          <w:rFonts w:hint="eastAsia" w:ascii="仿宋_GB2312" w:hAnsi="仿宋_GB2312" w:eastAsia="仿宋_GB2312" w:cs="仿宋_GB2312"/>
          <w:sz w:val="32"/>
          <w:szCs w:val="32"/>
          <w:highlight w:val="none"/>
          <w:lang w:val="en-US" w:eastAsia="zh-CN"/>
        </w:rPr>
        <w:t>二</w:t>
      </w:r>
      <w:r>
        <w:rPr>
          <w:rFonts w:hint="eastAsia" w:ascii="仿宋_GB2312" w:hAnsi="仿宋_GB2312" w:eastAsia="仿宋_GB2312" w:cs="仿宋_GB2312"/>
          <w:sz w:val="32"/>
          <w:szCs w:val="32"/>
          <w:highlight w:val="none"/>
        </w:rPr>
        <w:t>）乙方须</w:t>
      </w:r>
      <w:r>
        <w:rPr>
          <w:rFonts w:hint="eastAsia" w:ascii="仿宋_GB2312" w:hAnsi="仿宋_GB2312" w:eastAsia="仿宋_GB2312" w:cs="仿宋_GB2312"/>
          <w:sz w:val="32"/>
          <w:szCs w:val="32"/>
          <w:highlight w:val="none"/>
          <w:lang w:val="en-US" w:eastAsia="zh-CN"/>
        </w:rPr>
        <w:t>配合甲方</w:t>
      </w:r>
      <w:r>
        <w:rPr>
          <w:rFonts w:hint="eastAsia" w:ascii="仿宋_GB2312" w:hAnsi="仿宋_GB2312" w:eastAsia="仿宋_GB2312" w:cs="仿宋_GB2312"/>
          <w:sz w:val="32"/>
          <w:szCs w:val="32"/>
          <w:highlight w:val="none"/>
        </w:rPr>
        <w:t>组织</w:t>
      </w:r>
      <w:r>
        <w:rPr>
          <w:rFonts w:hint="eastAsia" w:ascii="仿宋_GB2312" w:hAnsi="仿宋_GB2312" w:eastAsia="仿宋_GB2312" w:cs="仿宋_GB2312"/>
          <w:sz w:val="32"/>
          <w:szCs w:val="32"/>
          <w:highlight w:val="none"/>
          <w:lang w:val="en-US" w:eastAsia="zh-CN"/>
        </w:rPr>
        <w:t>对</w:t>
      </w:r>
      <w:r>
        <w:rPr>
          <w:rFonts w:hint="eastAsia" w:ascii="仿宋_GB2312" w:hAnsi="仿宋_GB2312" w:eastAsia="仿宋_GB2312" w:cs="仿宋_GB2312"/>
          <w:sz w:val="32"/>
          <w:szCs w:val="32"/>
          <w:highlight w:val="none"/>
        </w:rPr>
        <w:t>本单位</w:t>
      </w:r>
      <w:r>
        <w:rPr>
          <w:rFonts w:hint="eastAsia" w:ascii="仿宋_GB2312" w:hAnsi="仿宋_GB2312" w:eastAsia="仿宋_GB2312" w:cs="仿宋_GB2312"/>
          <w:sz w:val="32"/>
          <w:szCs w:val="32"/>
          <w:highlight w:val="none"/>
          <w:lang w:val="en-US" w:eastAsia="zh-CN"/>
        </w:rPr>
        <w:t>区域内开展不定期</w:t>
      </w:r>
      <w:r>
        <w:rPr>
          <w:rFonts w:hint="eastAsia" w:ascii="仿宋_GB2312" w:hAnsi="仿宋_GB2312" w:eastAsia="仿宋_GB2312" w:cs="仿宋_GB2312"/>
          <w:sz w:val="32"/>
          <w:szCs w:val="32"/>
          <w:highlight w:val="none"/>
        </w:rPr>
        <w:t>的安全检查，</w:t>
      </w:r>
      <w:r>
        <w:rPr>
          <w:rFonts w:hint="eastAsia" w:ascii="仿宋_GB2312" w:hAnsi="仿宋_GB2312" w:eastAsia="仿宋_GB2312" w:cs="仿宋_GB2312"/>
          <w:sz w:val="32"/>
          <w:szCs w:val="32"/>
          <w:highlight w:val="none"/>
          <w:lang w:val="en-US" w:eastAsia="zh-CN"/>
        </w:rPr>
        <w:t>并做好日常安全检查，</w:t>
      </w:r>
      <w:r>
        <w:rPr>
          <w:rFonts w:hint="eastAsia" w:ascii="仿宋_GB2312" w:hAnsi="仿宋_GB2312" w:eastAsia="仿宋_GB2312" w:cs="仿宋_GB2312"/>
          <w:sz w:val="32"/>
          <w:szCs w:val="32"/>
          <w:highlight w:val="none"/>
        </w:rPr>
        <w:t>及时消除事故隐患，并建立安全检查台账。对于检查中发现的重大隐患或无法独立解决的问题，应立即书面报告甲方。</w:t>
      </w:r>
    </w:p>
    <w:p w14:paraId="719027EA">
      <w:pPr>
        <w:keepNext w:val="0"/>
        <w:keepLines w:val="0"/>
        <w:pageBreakBefore w:val="0"/>
        <w:overflowPunct w:val="0"/>
        <w:snapToGrid/>
        <w:spacing w:line="52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（十</w:t>
      </w:r>
      <w:r>
        <w:rPr>
          <w:rFonts w:hint="eastAsia" w:ascii="仿宋_GB2312" w:hAnsi="仿宋_GB2312" w:eastAsia="仿宋_GB2312" w:cs="仿宋_GB2312"/>
          <w:sz w:val="32"/>
          <w:szCs w:val="32"/>
          <w:highlight w:val="none"/>
          <w:lang w:val="en-US" w:eastAsia="zh-CN"/>
        </w:rPr>
        <w:t>三</w:t>
      </w:r>
      <w:r>
        <w:rPr>
          <w:rFonts w:hint="eastAsia" w:ascii="仿宋_GB2312" w:hAnsi="仿宋_GB2312" w:eastAsia="仿宋_GB2312" w:cs="仿宋_GB2312"/>
          <w:sz w:val="32"/>
          <w:szCs w:val="32"/>
          <w:highlight w:val="none"/>
        </w:rPr>
        <w:t>）乙方必须服从甲方</w:t>
      </w:r>
      <w:r>
        <w:rPr>
          <w:rFonts w:hint="eastAsia" w:ascii="仿宋_GB2312" w:hAnsi="仿宋_GB2312" w:eastAsia="仿宋_GB2312" w:cs="仿宋_GB2312"/>
          <w:sz w:val="32"/>
          <w:szCs w:val="32"/>
          <w:highlight w:val="none"/>
          <w:lang w:eastAsia="zh-CN"/>
        </w:rPr>
        <w:t>及甲方上级单位</w:t>
      </w:r>
      <w:r>
        <w:rPr>
          <w:rFonts w:hint="eastAsia" w:ascii="仿宋_GB2312" w:hAnsi="仿宋_GB2312" w:eastAsia="仿宋_GB2312" w:cs="仿宋_GB2312"/>
          <w:sz w:val="32"/>
          <w:szCs w:val="32"/>
          <w:highlight w:val="none"/>
        </w:rPr>
        <w:t>的统一协调和管理，遵守甲方在消防、用电、文明施工、环境保护等方面的各项规章制度。</w:t>
      </w:r>
      <w:r>
        <w:rPr>
          <w:rFonts w:hint="eastAsia" w:ascii="仿宋_GB2312" w:hAnsi="仿宋_GB2312" w:eastAsia="仿宋_GB2312" w:cs="仿宋_GB2312"/>
          <w:sz w:val="32"/>
          <w:szCs w:val="32"/>
          <w:highlight w:val="none"/>
          <w:lang w:eastAsia="zh-CN"/>
        </w:rPr>
        <w:t>因违反规定造成的一切后果由乙方承担。</w:t>
      </w:r>
    </w:p>
    <w:p w14:paraId="33E693D0">
      <w:pPr>
        <w:keepNext w:val="0"/>
        <w:keepLines w:val="0"/>
        <w:pageBreakBefore w:val="0"/>
        <w:overflowPunct w:val="0"/>
        <w:snapToGrid/>
        <w:spacing w:line="52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（十</w:t>
      </w:r>
      <w:r>
        <w:rPr>
          <w:rFonts w:hint="eastAsia" w:ascii="仿宋_GB2312" w:hAnsi="仿宋_GB2312" w:eastAsia="仿宋_GB2312" w:cs="仿宋_GB2312"/>
          <w:sz w:val="32"/>
          <w:szCs w:val="32"/>
          <w:highlight w:val="none"/>
          <w:lang w:val="en-US" w:eastAsia="zh-CN"/>
        </w:rPr>
        <w:t>四</w:t>
      </w:r>
      <w:r>
        <w:rPr>
          <w:rFonts w:hint="eastAsia" w:ascii="仿宋_GB2312" w:hAnsi="仿宋_GB2312" w:eastAsia="仿宋_GB2312" w:cs="仿宋_GB2312"/>
          <w:sz w:val="32"/>
          <w:szCs w:val="32"/>
          <w:highlight w:val="none"/>
        </w:rPr>
        <w:t>）乙方在</w:t>
      </w:r>
      <w:r>
        <w:rPr>
          <w:rFonts w:hint="eastAsia" w:ascii="仿宋_GB2312" w:hAnsi="仿宋_GB2312" w:eastAsia="仿宋_GB2312" w:cs="仿宋_GB2312"/>
          <w:sz w:val="32"/>
          <w:szCs w:val="32"/>
          <w:highlight w:val="none"/>
          <w:lang w:val="en-US" w:eastAsia="zh-CN"/>
        </w:rPr>
        <w:t>物业</w:t>
      </w:r>
      <w:r>
        <w:rPr>
          <w:rFonts w:hint="eastAsia" w:ascii="仿宋_GB2312" w:hAnsi="仿宋_GB2312" w:eastAsia="仿宋_GB2312" w:cs="仿宋_GB2312"/>
          <w:sz w:val="32"/>
          <w:szCs w:val="32"/>
          <w:highlight w:val="none"/>
        </w:rPr>
        <w:t>现场发生人身伤亡事故或紧急情况时，应立即启动应急预案，</w:t>
      </w:r>
      <w:r>
        <w:rPr>
          <w:rFonts w:hint="eastAsia" w:ascii="仿宋_GB2312" w:hAnsi="仿宋_GB2312" w:eastAsia="仿宋_GB2312" w:cs="仿宋_GB2312"/>
          <w:sz w:val="32"/>
          <w:szCs w:val="32"/>
          <w:highlight w:val="none"/>
          <w:lang w:val="en-US" w:eastAsia="zh-CN"/>
        </w:rPr>
        <w:t>采取有效措施</w:t>
      </w:r>
      <w:r>
        <w:rPr>
          <w:rFonts w:hint="eastAsia" w:ascii="仿宋_GB2312" w:hAnsi="仿宋_GB2312" w:eastAsia="仿宋_GB2312" w:cs="仿宋_GB2312"/>
          <w:sz w:val="32"/>
          <w:szCs w:val="32"/>
          <w:highlight w:val="none"/>
        </w:rPr>
        <w:t>组织抢救，防止事态扩大，</w:t>
      </w:r>
      <w:r>
        <w:rPr>
          <w:rFonts w:hint="eastAsia" w:ascii="仿宋_GB2312" w:hAnsi="仿宋_GB2312" w:eastAsia="仿宋_GB2312" w:cs="仿宋_GB2312"/>
          <w:sz w:val="32"/>
          <w:szCs w:val="32"/>
          <w:highlight w:val="none"/>
          <w:lang w:val="en-US" w:eastAsia="zh-CN"/>
        </w:rPr>
        <w:t>保护现场，并按照以下规定报告：</w:t>
      </w:r>
    </w:p>
    <w:p w14:paraId="53754E32">
      <w:pPr>
        <w:keepNext w:val="0"/>
        <w:keepLines w:val="0"/>
        <w:pageBreakBefore w:val="0"/>
        <w:overflowPunct w:val="0"/>
        <w:snapToGrid/>
        <w:spacing w:line="52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1.发生一般事故的，应在【15】分钟内通过电话、短信、微信等方式向甲方项目经理及安全负责人报告，并在【1】小时内提交书面初步报告；</w:t>
      </w:r>
    </w:p>
    <w:p w14:paraId="6B1A94FF">
      <w:pPr>
        <w:keepNext w:val="0"/>
        <w:keepLines w:val="0"/>
        <w:pageBreakBefore w:val="0"/>
        <w:overflowPunct w:val="0"/>
        <w:snapToGrid/>
        <w:spacing w:line="52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2.发生重伤、死亡或重大财产损失事故的，必须立即（不得超过【15】分钟）通过电话向甲方报告，并按照法律法规和相关规定向相关单位报告，并在【1】小时内向甲方提交书面初步报告。</w:t>
      </w:r>
    </w:p>
    <w:p w14:paraId="31DCC396">
      <w:pPr>
        <w:keepNext w:val="0"/>
        <w:keepLines w:val="0"/>
        <w:pageBreakBefore w:val="0"/>
        <w:overflowPunct w:val="0"/>
        <w:snapToGrid/>
        <w:spacing w:line="52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报告内容应包括事故发生时间、地点、概况、已采取措施及初步原因分析等</w:t>
      </w:r>
      <w:r>
        <w:rPr>
          <w:rFonts w:hint="eastAsia" w:ascii="仿宋_GB2312" w:hAnsi="仿宋_GB2312" w:eastAsia="仿宋_GB2312" w:cs="仿宋_GB2312"/>
          <w:sz w:val="32"/>
          <w:szCs w:val="32"/>
          <w:highlight w:val="none"/>
        </w:rPr>
        <w:t>。</w:t>
      </w:r>
    </w:p>
    <w:p w14:paraId="406A6ABC">
      <w:pPr>
        <w:keepNext w:val="0"/>
        <w:keepLines w:val="0"/>
        <w:pageBreakBefore w:val="0"/>
        <w:overflowPunct w:val="0"/>
        <w:snapToGrid/>
        <w:spacing w:line="52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color w:val="auto"/>
          <w:sz w:val="32"/>
          <w:szCs w:val="32"/>
          <w:highlight w:val="none"/>
          <w:lang w:val="en-US" w:eastAsia="zh-CN"/>
        </w:rPr>
        <w:t>（十五）乙方负责除</w:t>
      </w:r>
      <w:r>
        <w:rPr>
          <w:rFonts w:hint="eastAsia" w:ascii="仿宋_GB2312" w:hAnsi="仿宋_GB2312" w:eastAsia="仿宋_GB2312" w:cs="仿宋_GB2312"/>
          <w:color w:val="auto"/>
          <w:sz w:val="32"/>
          <w:szCs w:val="32"/>
          <w:highlight w:val="none"/>
        </w:rPr>
        <w:t>房屋结构</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墙、梁、柱、楼板</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自然损坏</w:t>
      </w:r>
      <w:r>
        <w:rPr>
          <w:rFonts w:hint="eastAsia" w:ascii="仿宋_GB2312" w:hAnsi="仿宋_GB2312" w:eastAsia="仿宋_GB2312" w:cs="仿宋_GB2312"/>
          <w:color w:val="auto"/>
          <w:sz w:val="32"/>
          <w:szCs w:val="32"/>
          <w:highlight w:val="none"/>
          <w:lang w:val="en-US" w:eastAsia="zh-CN"/>
        </w:rPr>
        <w:t>以外其他</w:t>
      </w:r>
      <w:r>
        <w:rPr>
          <w:rFonts w:hint="eastAsia" w:ascii="仿宋_GB2312" w:hAnsi="仿宋_GB2312" w:eastAsia="仿宋_GB2312" w:cs="仿宋_GB2312"/>
          <w:color w:val="auto"/>
          <w:sz w:val="32"/>
          <w:szCs w:val="32"/>
          <w:highlight w:val="none"/>
        </w:rPr>
        <w:t>问题的修缮</w:t>
      </w:r>
      <w:r>
        <w:rPr>
          <w:rFonts w:hint="eastAsia" w:ascii="仿宋_GB2312" w:hAnsi="仿宋_GB2312" w:eastAsia="仿宋_GB2312" w:cs="仿宋_GB2312"/>
          <w:color w:val="auto"/>
          <w:sz w:val="32"/>
          <w:szCs w:val="32"/>
          <w:highlight w:val="none"/>
          <w:lang w:eastAsia="zh-CN"/>
        </w:rPr>
        <w:t>。</w:t>
      </w:r>
    </w:p>
    <w:p w14:paraId="16EB7D5C">
      <w:pPr>
        <w:keepNext w:val="0"/>
        <w:keepLines w:val="0"/>
        <w:pageBreakBefore w:val="0"/>
        <w:overflowPunct w:val="0"/>
        <w:snapToGrid/>
        <w:spacing w:line="52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十六</w:t>
      </w:r>
      <w:r>
        <w:rPr>
          <w:rFonts w:hint="eastAsia" w:ascii="仿宋_GB2312" w:hAnsi="仿宋_GB2312" w:eastAsia="仿宋_GB2312" w:cs="仿宋_GB2312"/>
          <w:sz w:val="32"/>
          <w:szCs w:val="32"/>
          <w:highlight w:val="none"/>
        </w:rPr>
        <w:t>）法律法规及本协议规定的其他应由乙方承担的</w:t>
      </w:r>
      <w:r>
        <w:rPr>
          <w:rFonts w:hint="eastAsia" w:ascii="仿宋_GB2312" w:hAnsi="仿宋_GB2312" w:eastAsia="仿宋_GB2312" w:cs="仿宋_GB2312"/>
          <w:sz w:val="32"/>
          <w:szCs w:val="32"/>
          <w:highlight w:val="none"/>
          <w:lang w:eastAsia="zh-CN"/>
        </w:rPr>
        <w:t>安全生产管理</w:t>
      </w:r>
      <w:r>
        <w:rPr>
          <w:rFonts w:hint="eastAsia" w:ascii="仿宋_GB2312" w:hAnsi="仿宋_GB2312" w:eastAsia="仿宋_GB2312" w:cs="仿宋_GB2312"/>
          <w:sz w:val="32"/>
          <w:szCs w:val="32"/>
          <w:highlight w:val="none"/>
        </w:rPr>
        <w:t>责任与义务。</w:t>
      </w:r>
    </w:p>
    <w:p w14:paraId="0F2E3406">
      <w:pPr>
        <w:keepNext w:val="0"/>
        <w:keepLines w:val="0"/>
        <w:pageBreakBefore w:val="0"/>
        <w:overflowPunct w:val="0"/>
        <w:snapToGrid/>
        <w:spacing w:line="520" w:lineRule="exact"/>
        <w:ind w:firstLine="640" w:firstLineChars="200"/>
        <w:rPr>
          <w:rFonts w:hint="eastAsia" w:ascii="黑体" w:hAnsi="黑体" w:eastAsia="黑体" w:cs="黑体"/>
          <w:sz w:val="32"/>
          <w:szCs w:val="32"/>
          <w:highlight w:val="none"/>
        </w:rPr>
      </w:pPr>
      <w:r>
        <w:rPr>
          <w:rFonts w:hint="eastAsia" w:ascii="黑体" w:hAnsi="黑体" w:eastAsia="黑体" w:cs="黑体"/>
          <w:sz w:val="32"/>
          <w:szCs w:val="32"/>
          <w:highlight w:val="none"/>
          <w:lang w:val="en-US" w:eastAsia="zh-CN"/>
        </w:rPr>
        <w:t>五</w:t>
      </w:r>
      <w:r>
        <w:rPr>
          <w:rFonts w:hint="eastAsia" w:ascii="黑体" w:hAnsi="黑体" w:eastAsia="黑体" w:cs="黑体"/>
          <w:sz w:val="32"/>
          <w:szCs w:val="32"/>
          <w:highlight w:val="none"/>
        </w:rPr>
        <w:t>、违约责任与事故处理</w:t>
      </w:r>
    </w:p>
    <w:p w14:paraId="3716EB08">
      <w:pPr>
        <w:keepNext w:val="0"/>
        <w:keepLines w:val="0"/>
        <w:pageBreakBefore w:val="0"/>
        <w:overflowPunct w:val="0"/>
        <w:snapToGrid/>
        <w:spacing w:line="52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）因</w:t>
      </w:r>
      <w:r>
        <w:rPr>
          <w:rFonts w:hint="eastAsia"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sz w:val="32"/>
          <w:szCs w:val="32"/>
          <w:highlight w:val="none"/>
          <w:lang w:eastAsia="zh-CN"/>
        </w:rPr>
        <w:t>方</w:t>
      </w:r>
      <w:r>
        <w:rPr>
          <w:rFonts w:hint="eastAsia" w:ascii="仿宋_GB2312" w:hAnsi="仿宋_GB2312" w:eastAsia="仿宋_GB2312" w:cs="仿宋_GB2312"/>
          <w:sz w:val="32"/>
          <w:szCs w:val="32"/>
          <w:highlight w:val="none"/>
        </w:rPr>
        <w:t>原因</w:t>
      </w:r>
      <w:r>
        <w:rPr>
          <w:rFonts w:hint="eastAsia" w:ascii="仿宋_GB2312" w:hAnsi="仿宋_GB2312" w:eastAsia="仿宋_GB2312" w:cs="仿宋_GB2312"/>
          <w:sz w:val="32"/>
          <w:szCs w:val="32"/>
          <w:highlight w:val="none"/>
          <w:lang w:val="en-US" w:eastAsia="zh-CN"/>
        </w:rPr>
        <w:t>造成生产安全事故的，除承担本协议其他条款约定的责任外，由该责任方承担全部法律责任及由此产生的一切费用。若事故的发生甲乙双方均有过错的，应根据各自过错的程度及该过错与事故后果之间的因果关系比例，分担相应的法律责任及费用。本协议项下所述“</w:t>
      </w:r>
      <w:r>
        <w:rPr>
          <w:rFonts w:hint="eastAsia" w:ascii="仿宋_GB2312" w:hAnsi="仿宋_GB2312" w:eastAsia="仿宋_GB2312" w:cs="仿宋_GB2312"/>
          <w:sz w:val="32"/>
          <w:szCs w:val="32"/>
          <w:highlight w:val="none"/>
        </w:rPr>
        <w:t>一切费用</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包括但不限于：医疗费、伤亡赔偿金、</w:t>
      </w:r>
      <w:r>
        <w:rPr>
          <w:rFonts w:hint="eastAsia" w:ascii="仿宋_GB2312" w:hAnsi="仿宋_GB2312" w:eastAsia="仿宋_GB2312" w:cs="仿宋_GB2312"/>
          <w:sz w:val="32"/>
          <w:szCs w:val="32"/>
          <w:highlight w:val="none"/>
          <w:lang w:val="en-US" w:eastAsia="zh-CN"/>
        </w:rPr>
        <w:t>抚恤费用、</w:t>
      </w:r>
      <w:r>
        <w:rPr>
          <w:rFonts w:hint="eastAsia" w:ascii="仿宋_GB2312" w:hAnsi="仿宋_GB2312" w:eastAsia="仿宋_GB2312" w:cs="仿宋_GB2312"/>
          <w:sz w:val="32"/>
          <w:szCs w:val="32"/>
          <w:highlight w:val="none"/>
        </w:rPr>
        <w:t>工伤保险待遇、行政罚款、事故处理费用</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诉讼费、仲裁费、律师费，</w:t>
      </w:r>
      <w:r>
        <w:rPr>
          <w:rFonts w:hint="eastAsia" w:ascii="仿宋_GB2312" w:hAnsi="仿宋_GB2312" w:eastAsia="仿宋_GB2312" w:cs="仿宋_GB2312"/>
          <w:sz w:val="32"/>
          <w:szCs w:val="32"/>
          <w:highlight w:val="none"/>
        </w:rPr>
        <w:t>以及因此给</w:t>
      </w:r>
      <w:r>
        <w:rPr>
          <w:rFonts w:hint="eastAsia" w:ascii="仿宋_GB2312" w:hAnsi="仿宋_GB2312" w:eastAsia="仿宋_GB2312" w:cs="仿宋_GB2312"/>
          <w:sz w:val="32"/>
          <w:szCs w:val="32"/>
          <w:highlight w:val="none"/>
          <w:lang w:val="en-US" w:eastAsia="zh-CN"/>
        </w:rPr>
        <w:t>另一</w:t>
      </w:r>
      <w:r>
        <w:rPr>
          <w:rFonts w:hint="eastAsia" w:ascii="仿宋_GB2312" w:hAnsi="仿宋_GB2312" w:eastAsia="仿宋_GB2312" w:cs="仿宋_GB2312"/>
          <w:sz w:val="32"/>
          <w:szCs w:val="32"/>
          <w:highlight w:val="none"/>
          <w:lang w:eastAsia="zh-CN"/>
        </w:rPr>
        <w:t>方</w:t>
      </w:r>
      <w:r>
        <w:rPr>
          <w:rFonts w:hint="eastAsia" w:ascii="仿宋_GB2312" w:hAnsi="仿宋_GB2312" w:eastAsia="仿宋_GB2312" w:cs="仿宋_GB2312"/>
          <w:sz w:val="32"/>
          <w:szCs w:val="32"/>
          <w:highlight w:val="none"/>
        </w:rPr>
        <w:t>、第三方造成的全部损失（包括直接损失和间接损失）。</w:t>
      </w:r>
    </w:p>
    <w:p w14:paraId="4BC44A30">
      <w:pPr>
        <w:keepNext w:val="0"/>
        <w:keepLines w:val="0"/>
        <w:pageBreakBefore w:val="0"/>
        <w:overflowPunct w:val="0"/>
        <w:snapToGrid/>
        <w:spacing w:line="52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二</w:t>
      </w:r>
      <w:r>
        <w:rPr>
          <w:rFonts w:hint="eastAsia" w:ascii="仿宋_GB2312" w:hAnsi="仿宋_GB2312" w:eastAsia="仿宋_GB2312" w:cs="仿宋_GB2312"/>
          <w:sz w:val="32"/>
          <w:szCs w:val="32"/>
          <w:highlight w:val="none"/>
        </w:rPr>
        <w:t>）因乙方原因（包括其雇员、代理人</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材料（设备）商、分包商</w:t>
      </w:r>
      <w:r>
        <w:rPr>
          <w:rFonts w:hint="eastAsia" w:ascii="仿宋_GB2312" w:hAnsi="仿宋_GB2312" w:eastAsia="仿宋_GB2312" w:cs="仿宋_GB2312"/>
          <w:sz w:val="32"/>
          <w:szCs w:val="32"/>
          <w:highlight w:val="none"/>
        </w:rPr>
        <w:t>的</w:t>
      </w:r>
      <w:r>
        <w:rPr>
          <w:rFonts w:hint="eastAsia" w:ascii="仿宋_GB2312" w:hAnsi="仿宋_GB2312" w:eastAsia="仿宋_GB2312" w:cs="仿宋_GB2312"/>
          <w:sz w:val="32"/>
          <w:szCs w:val="32"/>
          <w:highlight w:val="none"/>
          <w:lang w:val="en-US" w:eastAsia="zh-CN"/>
        </w:rPr>
        <w:t>行</w:t>
      </w:r>
      <w:r>
        <w:rPr>
          <w:rFonts w:hint="eastAsia" w:ascii="仿宋_GB2312" w:hAnsi="仿宋_GB2312" w:eastAsia="仿宋_GB2312" w:cs="仿宋_GB2312"/>
          <w:sz w:val="32"/>
          <w:szCs w:val="32"/>
          <w:highlight w:val="none"/>
        </w:rPr>
        <w:t>为或</w:t>
      </w:r>
      <w:r>
        <w:rPr>
          <w:rFonts w:hint="eastAsia" w:ascii="仿宋_GB2312" w:hAnsi="仿宋_GB2312" w:eastAsia="仿宋_GB2312" w:cs="仿宋_GB2312"/>
          <w:sz w:val="32"/>
          <w:szCs w:val="32"/>
          <w:highlight w:val="none"/>
          <w:lang w:val="en-US" w:eastAsia="zh-CN"/>
        </w:rPr>
        <w:t>疏忽</w:t>
      </w:r>
      <w:r>
        <w:rPr>
          <w:rFonts w:hint="eastAsia" w:ascii="仿宋_GB2312" w:hAnsi="仿宋_GB2312" w:eastAsia="仿宋_GB2312" w:cs="仿宋_GB2312"/>
          <w:sz w:val="32"/>
          <w:szCs w:val="32"/>
          <w:highlight w:val="none"/>
        </w:rPr>
        <w:t>）导致</w:t>
      </w:r>
      <w:r>
        <w:rPr>
          <w:rFonts w:hint="eastAsia" w:ascii="仿宋_GB2312" w:hAnsi="仿宋_GB2312" w:eastAsia="仿宋_GB2312" w:cs="仿宋_GB2312"/>
          <w:sz w:val="32"/>
          <w:szCs w:val="32"/>
          <w:highlight w:val="none"/>
          <w:lang w:val="en-US" w:eastAsia="zh-CN"/>
        </w:rPr>
        <w:t>任何</w:t>
      </w:r>
      <w:r>
        <w:rPr>
          <w:rFonts w:hint="eastAsia" w:ascii="仿宋_GB2312" w:hAnsi="仿宋_GB2312" w:eastAsia="仿宋_GB2312" w:cs="仿宋_GB2312"/>
          <w:sz w:val="32"/>
          <w:szCs w:val="32"/>
          <w:highlight w:val="none"/>
        </w:rPr>
        <w:t>生产安全事故的，</w:t>
      </w:r>
      <w:r>
        <w:rPr>
          <w:rFonts w:hint="eastAsia" w:ascii="仿宋_GB2312" w:hAnsi="仿宋_GB2312" w:eastAsia="仿宋_GB2312" w:cs="仿宋_GB2312"/>
          <w:sz w:val="32"/>
          <w:szCs w:val="32"/>
          <w:highlight w:val="none"/>
          <w:lang w:val="en-US" w:eastAsia="zh-CN"/>
        </w:rPr>
        <w:t>给甲方或第三方造成损失的，</w:t>
      </w:r>
      <w:r>
        <w:rPr>
          <w:rFonts w:hint="eastAsia" w:ascii="仿宋_GB2312" w:hAnsi="仿宋_GB2312" w:eastAsia="仿宋_GB2312" w:cs="仿宋_GB2312"/>
          <w:sz w:val="32"/>
          <w:szCs w:val="32"/>
          <w:highlight w:val="none"/>
        </w:rPr>
        <w:t>乙方</w:t>
      </w:r>
      <w:r>
        <w:rPr>
          <w:rFonts w:hint="eastAsia" w:ascii="仿宋_GB2312" w:hAnsi="仿宋_GB2312" w:eastAsia="仿宋_GB2312" w:cs="仿宋_GB2312"/>
          <w:sz w:val="32"/>
          <w:szCs w:val="32"/>
          <w:highlight w:val="none"/>
          <w:lang w:val="en-US" w:eastAsia="zh-CN"/>
        </w:rPr>
        <w:t>应</w:t>
      </w:r>
      <w:r>
        <w:rPr>
          <w:rFonts w:hint="eastAsia" w:ascii="仿宋_GB2312" w:hAnsi="仿宋_GB2312" w:eastAsia="仿宋_GB2312" w:cs="仿宋_GB2312"/>
          <w:sz w:val="32"/>
          <w:szCs w:val="32"/>
          <w:highlight w:val="none"/>
        </w:rPr>
        <w:t>承担全部</w:t>
      </w:r>
      <w:r>
        <w:rPr>
          <w:rFonts w:hint="eastAsia" w:ascii="仿宋_GB2312" w:hAnsi="仿宋_GB2312" w:eastAsia="仿宋_GB2312" w:cs="仿宋_GB2312"/>
          <w:sz w:val="32"/>
          <w:szCs w:val="32"/>
          <w:highlight w:val="none"/>
          <w:lang w:val="en-US" w:eastAsia="zh-CN"/>
        </w:rPr>
        <w:t>法律责任及一切后果（包括但不限于行政处罚、对第三方及甲方人员的伤亡赔偿、财产损失赔偿、事故处理费用等）</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并负责处理</w:t>
      </w:r>
      <w:r>
        <w:rPr>
          <w:rFonts w:hint="eastAsia" w:ascii="仿宋_GB2312" w:hAnsi="仿宋_GB2312" w:eastAsia="仿宋_GB2312" w:cs="仿宋_GB2312"/>
          <w:sz w:val="32"/>
          <w:szCs w:val="32"/>
          <w:highlight w:val="none"/>
        </w:rPr>
        <w:t>一切</w:t>
      </w:r>
      <w:r>
        <w:rPr>
          <w:rFonts w:hint="eastAsia" w:ascii="仿宋_GB2312" w:hAnsi="仿宋_GB2312" w:eastAsia="仿宋_GB2312" w:cs="仿宋_GB2312"/>
          <w:sz w:val="32"/>
          <w:szCs w:val="32"/>
          <w:highlight w:val="none"/>
          <w:lang w:val="en-US" w:eastAsia="zh-CN"/>
        </w:rPr>
        <w:t>善后事宜</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如甲方因此被追究责任或遭受损失，乙方应予以全额补偿，并使甲方免受损害。</w:t>
      </w:r>
    </w:p>
    <w:p w14:paraId="38162197">
      <w:pPr>
        <w:keepNext w:val="0"/>
        <w:keepLines w:val="0"/>
        <w:pageBreakBefore w:val="0"/>
        <w:overflowPunct w:val="0"/>
        <w:snapToGrid/>
        <w:spacing w:line="52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（三）</w:t>
      </w:r>
      <w:r>
        <w:rPr>
          <w:rFonts w:hint="eastAsia" w:ascii="仿宋_GB2312" w:hAnsi="仿宋_GB2312" w:eastAsia="仿宋_GB2312" w:cs="仿宋_GB2312"/>
          <w:sz w:val="32"/>
          <w:szCs w:val="32"/>
          <w:highlight w:val="none"/>
        </w:rPr>
        <w:t>乙方违反本协议或甲方安全管理规定的，甲方有权</w:t>
      </w:r>
      <w:r>
        <w:rPr>
          <w:rFonts w:hint="eastAsia" w:ascii="仿宋_GB2312" w:hAnsi="仿宋_GB2312" w:eastAsia="仿宋_GB2312" w:cs="仿宋_GB2312"/>
          <w:sz w:val="32"/>
          <w:szCs w:val="32"/>
          <w:highlight w:val="none"/>
          <w:lang w:val="en-US" w:eastAsia="zh-CN"/>
        </w:rPr>
        <w:t>采取以下一项或多项措施：</w:t>
      </w:r>
    </w:p>
    <w:p w14:paraId="06510CE3">
      <w:pPr>
        <w:keepNext w:val="0"/>
        <w:keepLines w:val="0"/>
        <w:pageBreakBefore w:val="0"/>
        <w:overflowPunct w:val="0"/>
        <w:snapToGrid/>
        <w:spacing w:line="52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要求</w:t>
      </w:r>
      <w:r>
        <w:rPr>
          <w:rFonts w:hint="eastAsia" w:ascii="仿宋_GB2312" w:hAnsi="仿宋_GB2312" w:eastAsia="仿宋_GB2312" w:cs="仿宋_GB2312"/>
          <w:sz w:val="32"/>
          <w:szCs w:val="32"/>
          <w:highlight w:val="none"/>
          <w:lang w:val="en-US" w:eastAsia="zh-CN"/>
        </w:rPr>
        <w:t>乙方限期</w:t>
      </w:r>
      <w:r>
        <w:rPr>
          <w:rFonts w:hint="eastAsia" w:ascii="仿宋_GB2312" w:hAnsi="仿宋_GB2312" w:eastAsia="仿宋_GB2312" w:cs="仿宋_GB2312"/>
          <w:sz w:val="32"/>
          <w:szCs w:val="32"/>
          <w:highlight w:val="none"/>
        </w:rPr>
        <w:t>更换不合格</w:t>
      </w:r>
      <w:r>
        <w:rPr>
          <w:rFonts w:hint="eastAsia" w:ascii="仿宋_GB2312" w:hAnsi="仿宋_GB2312" w:eastAsia="仿宋_GB2312" w:cs="仿宋_GB2312"/>
          <w:sz w:val="32"/>
          <w:szCs w:val="32"/>
          <w:highlight w:val="none"/>
          <w:lang w:val="en-US" w:eastAsia="zh-CN"/>
        </w:rPr>
        <w:t>的项目负责人、安全管理</w:t>
      </w:r>
      <w:r>
        <w:rPr>
          <w:rFonts w:hint="eastAsia" w:ascii="仿宋_GB2312" w:hAnsi="仿宋_GB2312" w:eastAsia="仿宋_GB2312" w:cs="仿宋_GB2312"/>
          <w:sz w:val="32"/>
          <w:szCs w:val="32"/>
          <w:highlight w:val="none"/>
        </w:rPr>
        <w:t>人员</w:t>
      </w:r>
      <w:r>
        <w:rPr>
          <w:rFonts w:hint="eastAsia" w:ascii="仿宋_GB2312" w:hAnsi="仿宋_GB2312" w:eastAsia="仿宋_GB2312" w:cs="仿宋_GB2312"/>
          <w:sz w:val="32"/>
          <w:szCs w:val="32"/>
          <w:highlight w:val="none"/>
          <w:lang w:val="en-US" w:eastAsia="zh-CN"/>
        </w:rPr>
        <w:t>或其他从业人员；</w:t>
      </w:r>
    </w:p>
    <w:p w14:paraId="5D5EAEA9">
      <w:pPr>
        <w:keepNext w:val="0"/>
        <w:keepLines w:val="0"/>
        <w:pageBreakBefore w:val="0"/>
        <w:overflowPunct w:val="0"/>
        <w:snapToGrid/>
        <w:spacing w:line="520" w:lineRule="exact"/>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责令暂停</w:t>
      </w:r>
      <w:r>
        <w:rPr>
          <w:rFonts w:hint="eastAsia" w:ascii="仿宋_GB2312" w:hAnsi="仿宋_GB2312" w:eastAsia="仿宋_GB2312" w:cs="仿宋_GB2312"/>
          <w:sz w:val="32"/>
          <w:szCs w:val="32"/>
          <w:highlight w:val="none"/>
          <w:lang w:val="en-US" w:eastAsia="zh-CN"/>
        </w:rPr>
        <w:t>相关</w:t>
      </w:r>
      <w:r>
        <w:rPr>
          <w:rFonts w:hint="eastAsia" w:ascii="仿宋_GB2312" w:hAnsi="仿宋_GB2312" w:eastAsia="仿宋_GB2312" w:cs="仿宋_GB2312"/>
          <w:sz w:val="32"/>
          <w:szCs w:val="32"/>
          <w:highlight w:val="none"/>
        </w:rPr>
        <w:t>作业</w:t>
      </w:r>
      <w:r>
        <w:rPr>
          <w:rFonts w:hint="eastAsia" w:ascii="仿宋_GB2312" w:hAnsi="仿宋_GB2312" w:eastAsia="仿宋_GB2312" w:cs="仿宋_GB2312"/>
          <w:sz w:val="32"/>
          <w:szCs w:val="32"/>
          <w:highlight w:val="none"/>
          <w:lang w:val="en-US" w:eastAsia="zh-CN"/>
        </w:rPr>
        <w:t>或暂停营业</w:t>
      </w:r>
      <w:r>
        <w:rPr>
          <w:rFonts w:hint="eastAsia" w:ascii="仿宋_GB2312" w:hAnsi="仿宋_GB2312" w:eastAsia="仿宋_GB2312" w:cs="仿宋_GB2312"/>
          <w:sz w:val="32"/>
          <w:szCs w:val="32"/>
          <w:highlight w:val="none"/>
          <w:lang w:eastAsia="zh-CN"/>
        </w:rPr>
        <w:t>；</w:t>
      </w:r>
    </w:p>
    <w:p w14:paraId="3773A1E8">
      <w:pPr>
        <w:keepNext w:val="0"/>
        <w:keepLines w:val="0"/>
        <w:pageBreakBefore w:val="0"/>
        <w:overflowPunct w:val="0"/>
        <w:snapToGrid/>
        <w:spacing w:line="520" w:lineRule="exact"/>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3.视为乙方违约，依据主合同约定追究其责任并有权解除主合同；</w:t>
      </w:r>
    </w:p>
    <w:p w14:paraId="0076C4BE">
      <w:pPr>
        <w:keepNext w:val="0"/>
        <w:keepLines w:val="0"/>
        <w:pageBreakBefore w:val="0"/>
        <w:overflowPunct w:val="0"/>
        <w:snapToGrid/>
        <w:spacing w:line="520" w:lineRule="exact"/>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处以</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rPr>
        <w:t>元</w:t>
      </w:r>
      <w:r>
        <w:rPr>
          <w:rFonts w:hint="eastAsia" w:ascii="仿宋_GB2312" w:hAnsi="仿宋_GB2312" w:eastAsia="仿宋_GB2312" w:cs="仿宋_GB2312"/>
          <w:sz w:val="32"/>
          <w:szCs w:val="32"/>
          <w:highlight w:val="none"/>
          <w:lang w:val="en-US" w:eastAsia="zh-CN"/>
        </w:rPr>
        <w:t>或以下</w:t>
      </w:r>
      <w:r>
        <w:rPr>
          <w:rFonts w:hint="eastAsia" w:ascii="仿宋_GB2312" w:hAnsi="仿宋_GB2312" w:eastAsia="仿宋_GB2312" w:cs="仿宋_GB2312"/>
          <w:sz w:val="32"/>
          <w:szCs w:val="32"/>
          <w:highlight w:val="none"/>
        </w:rPr>
        <w:t>的</w:t>
      </w:r>
      <w:r>
        <w:rPr>
          <w:rFonts w:hint="eastAsia" w:ascii="仿宋_GB2312" w:hAnsi="仿宋_GB2312" w:eastAsia="仿宋_GB2312" w:cs="仿宋_GB2312"/>
          <w:sz w:val="32"/>
          <w:szCs w:val="32"/>
          <w:highlight w:val="yellow"/>
        </w:rPr>
        <w:t>违约金</w:t>
      </w:r>
      <w:r>
        <w:rPr>
          <w:rFonts w:hint="eastAsia" w:ascii="仿宋_GB2312" w:hAnsi="仿宋_GB2312" w:eastAsia="仿宋_GB2312" w:cs="仿宋_GB2312"/>
          <w:sz w:val="32"/>
          <w:szCs w:val="32"/>
          <w:highlight w:val="yellow"/>
          <w:lang w:eastAsia="zh-CN"/>
        </w:rPr>
        <w:t>（</w:t>
      </w:r>
      <w:r>
        <w:rPr>
          <w:rFonts w:hint="eastAsia" w:ascii="仿宋_GB2312" w:hAnsi="仿宋_GB2312" w:eastAsia="仿宋_GB2312" w:cs="仿宋_GB2312"/>
          <w:sz w:val="32"/>
          <w:szCs w:val="32"/>
          <w:highlight w:val="yellow"/>
          <w:lang w:val="en-US" w:eastAsia="zh-CN"/>
        </w:rPr>
        <w:t>对应主合同的相关违约金拟写</w:t>
      </w:r>
      <w:r>
        <w:rPr>
          <w:rFonts w:hint="eastAsia" w:ascii="仿宋_GB2312" w:hAnsi="仿宋_GB2312" w:eastAsia="仿宋_GB2312" w:cs="仿宋_GB2312"/>
          <w:sz w:val="32"/>
          <w:szCs w:val="32"/>
          <w:highlight w:val="yellow"/>
          <w:lang w:eastAsia="zh-CN"/>
        </w:rPr>
        <w:t>）</w:t>
      </w:r>
      <w:r>
        <w:rPr>
          <w:rFonts w:hint="eastAsia" w:ascii="仿宋_GB2312" w:hAnsi="仿宋_GB2312" w:eastAsia="仿宋_GB2312" w:cs="仿宋_GB2312"/>
          <w:sz w:val="32"/>
          <w:szCs w:val="32"/>
          <w:highlight w:val="none"/>
          <w:lang w:eastAsia="zh-CN"/>
        </w:rPr>
        <w:t>。</w:t>
      </w:r>
    </w:p>
    <w:p w14:paraId="57926185">
      <w:pPr>
        <w:pStyle w:val="2"/>
        <w:spacing w:line="520" w:lineRule="exact"/>
        <w:ind w:left="0" w:firstLine="0"/>
        <w:rPr>
          <w:rFonts w:hint="default"/>
          <w:highlight w:val="none"/>
          <w:lang w:val="en-US" w:eastAsia="zh-CN"/>
        </w:rPr>
      </w:pPr>
      <w:r>
        <w:rPr>
          <w:rFonts w:hint="eastAsia" w:ascii="仿宋_GB2312" w:hAnsi="仿宋_GB2312" w:eastAsia="仿宋_GB2312" w:cs="仿宋_GB2312"/>
          <w:sz w:val="32"/>
          <w:szCs w:val="32"/>
          <w:highlight w:val="none"/>
          <w:lang w:val="en-US" w:eastAsia="zh-CN"/>
        </w:rPr>
        <w:t xml:space="preserve">    甲方同时有权要求乙方赔偿由此造成甲方或第三人的一切费用及损失。</w:t>
      </w:r>
    </w:p>
    <w:p w14:paraId="7400B786">
      <w:pPr>
        <w:keepNext w:val="0"/>
        <w:keepLines w:val="0"/>
        <w:pageBreakBefore w:val="0"/>
        <w:overflowPunct w:val="0"/>
        <w:snapToGrid/>
        <w:spacing w:line="52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四</w:t>
      </w:r>
      <w:r>
        <w:rPr>
          <w:rFonts w:hint="eastAsia" w:ascii="仿宋_GB2312" w:hAnsi="仿宋_GB2312" w:eastAsia="仿宋_GB2312" w:cs="仿宋_GB2312"/>
          <w:sz w:val="32"/>
          <w:szCs w:val="32"/>
          <w:highlight w:val="none"/>
        </w:rPr>
        <w:t>）因乙方责任造成甲方被政府处罚的，罚款由乙方承担。</w:t>
      </w:r>
    </w:p>
    <w:p w14:paraId="53340FED">
      <w:pPr>
        <w:keepNext w:val="0"/>
        <w:keepLines w:val="0"/>
        <w:pageBreakBefore w:val="0"/>
        <w:overflowPunct w:val="0"/>
        <w:snapToGrid/>
        <w:spacing w:line="52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五</w:t>
      </w:r>
      <w:r>
        <w:rPr>
          <w:rFonts w:hint="eastAsia" w:ascii="仿宋_GB2312" w:hAnsi="仿宋_GB2312" w:eastAsia="仿宋_GB2312" w:cs="仿宋_GB2312"/>
          <w:sz w:val="32"/>
          <w:szCs w:val="32"/>
          <w:highlight w:val="none"/>
        </w:rPr>
        <w:t>）事故的调查与处理应遵循国家有关法律法规的规定。在事故调查过程中，乙方应全力配合，并提供所需的一切资料。</w:t>
      </w:r>
    </w:p>
    <w:p w14:paraId="58D76B59">
      <w:pPr>
        <w:keepNext w:val="0"/>
        <w:keepLines w:val="0"/>
        <w:pageBreakBefore w:val="0"/>
        <w:overflowPunct w:val="0"/>
        <w:snapToGrid/>
        <w:spacing w:line="520" w:lineRule="exact"/>
        <w:ind w:firstLine="640" w:firstLineChars="200"/>
        <w:rPr>
          <w:rFonts w:hint="default"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六</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对于乙方应付甲方的违约金等费用，如乙方未能在甲方通知期限内及时缴纳的，甲方有权从已收取的乙方缴纳的保证金或其他费用中直接抵扣相应金额，如因此导致保证金不足额的，乙方应在7日内及时补足。</w:t>
      </w:r>
    </w:p>
    <w:p w14:paraId="6C7E5756">
      <w:pPr>
        <w:keepNext w:val="0"/>
        <w:keepLines w:val="0"/>
        <w:pageBreakBefore w:val="0"/>
        <w:overflowPunct w:val="0"/>
        <w:snapToGrid/>
        <w:spacing w:line="520" w:lineRule="exact"/>
        <w:ind w:firstLine="640" w:firstLineChars="200"/>
        <w:rPr>
          <w:rFonts w:hint="eastAsia" w:ascii="黑体" w:hAnsi="黑体" w:eastAsia="黑体" w:cs="黑体"/>
          <w:sz w:val="32"/>
          <w:szCs w:val="32"/>
          <w:highlight w:val="none"/>
        </w:rPr>
      </w:pPr>
      <w:r>
        <w:rPr>
          <w:rFonts w:hint="eastAsia" w:ascii="黑体" w:hAnsi="黑体" w:eastAsia="黑体" w:cs="黑体"/>
          <w:sz w:val="32"/>
          <w:szCs w:val="32"/>
          <w:highlight w:val="none"/>
          <w:lang w:val="en-US" w:eastAsia="zh-CN"/>
        </w:rPr>
        <w:t>六</w:t>
      </w:r>
      <w:r>
        <w:rPr>
          <w:rFonts w:hint="eastAsia" w:ascii="黑体" w:hAnsi="黑体" w:eastAsia="黑体" w:cs="黑体"/>
          <w:sz w:val="32"/>
          <w:szCs w:val="32"/>
          <w:highlight w:val="none"/>
        </w:rPr>
        <w:t>、保险</w:t>
      </w:r>
    </w:p>
    <w:p w14:paraId="51BE9CB1">
      <w:pPr>
        <w:keepNext w:val="0"/>
        <w:keepLines w:val="0"/>
        <w:pageBreakBefore w:val="0"/>
        <w:overflowPunct w:val="0"/>
        <w:snapToGrid/>
        <w:spacing w:line="52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乙方必须</w:t>
      </w:r>
      <w:r>
        <w:rPr>
          <w:rFonts w:hint="eastAsia" w:ascii="仿宋_GB2312" w:hAnsi="仿宋_GB2312" w:eastAsia="仿宋_GB2312" w:cs="仿宋_GB2312"/>
          <w:sz w:val="32"/>
          <w:szCs w:val="32"/>
          <w:highlight w:val="none"/>
          <w:lang w:val="en-US" w:eastAsia="zh-CN"/>
        </w:rPr>
        <w:t>落实</w:t>
      </w:r>
      <w:r>
        <w:rPr>
          <w:rFonts w:hint="eastAsia" w:ascii="仿宋_GB2312" w:hAnsi="仿宋_GB2312" w:eastAsia="仿宋_GB2312" w:cs="仿宋_GB2312"/>
          <w:sz w:val="32"/>
          <w:szCs w:val="32"/>
          <w:highlight w:val="none"/>
        </w:rPr>
        <w:t>为本单位所有从业人员足额投保工伤保险或包含足额工伤责任的商业意外伤害保险。</w:t>
      </w:r>
    </w:p>
    <w:p w14:paraId="595DCBF3">
      <w:pPr>
        <w:keepNext w:val="0"/>
        <w:keepLines w:val="0"/>
        <w:pageBreakBefore w:val="0"/>
        <w:overflowPunct w:val="0"/>
        <w:snapToGrid/>
        <w:spacing w:line="520" w:lineRule="exact"/>
        <w:ind w:firstLine="640" w:firstLineChars="200"/>
        <w:rPr>
          <w:rFonts w:hint="eastAsia" w:ascii="仿宋_GB2312" w:hAnsi="仿宋_GB2312" w:eastAsia="仿宋_GB2312" w:cs="仿宋_GB2312"/>
          <w:sz w:val="32"/>
          <w:szCs w:val="32"/>
          <w:highlight w:val="none"/>
        </w:rPr>
      </w:pPr>
      <w:r>
        <w:rPr>
          <w:rFonts w:hint="eastAsia" w:ascii="黑体" w:hAnsi="黑体" w:eastAsia="黑体" w:cs="黑体"/>
          <w:sz w:val="32"/>
          <w:szCs w:val="32"/>
          <w:highlight w:val="none"/>
          <w:lang w:val="en-US" w:eastAsia="zh-CN"/>
        </w:rPr>
        <w:t>七</w:t>
      </w:r>
      <w:r>
        <w:rPr>
          <w:rFonts w:hint="eastAsia" w:ascii="黑体" w:hAnsi="黑体" w:eastAsia="黑体" w:cs="黑体"/>
          <w:sz w:val="32"/>
          <w:szCs w:val="32"/>
          <w:highlight w:val="none"/>
        </w:rPr>
        <w:t>、</w:t>
      </w:r>
      <w:r>
        <w:rPr>
          <w:rFonts w:hint="eastAsia" w:ascii="黑体" w:hAnsi="黑体" w:eastAsia="黑体" w:cs="黑体"/>
          <w:sz w:val="32"/>
          <w:szCs w:val="32"/>
          <w:highlight w:val="none"/>
          <w:lang w:eastAsia="zh-CN"/>
        </w:rPr>
        <w:t>其他</w:t>
      </w:r>
      <w:r>
        <w:rPr>
          <w:rFonts w:hint="eastAsia" w:ascii="黑体" w:hAnsi="黑体" w:eastAsia="黑体" w:cs="黑体"/>
          <w:sz w:val="32"/>
          <w:szCs w:val="32"/>
          <w:highlight w:val="none"/>
        </w:rPr>
        <w:t>事宜</w:t>
      </w:r>
    </w:p>
    <w:p w14:paraId="171F8188">
      <w:pPr>
        <w:keepNext w:val="0"/>
        <w:keepLines w:val="0"/>
        <w:pageBreakBefore w:val="0"/>
        <w:overflowPunct w:val="0"/>
        <w:snapToGrid/>
        <w:spacing w:line="520" w:lineRule="exact"/>
        <w:ind w:left="0" w:leftChars="0"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（一）本协议作为主合同的补充，与主合同具有同等法律效力。若本协议与主合同约定不一致的，以</w:t>
      </w:r>
      <w:r>
        <w:rPr>
          <w:rFonts w:hint="eastAsia" w:ascii="仿宋_GB2312" w:hAnsi="仿宋_GB2312" w:eastAsia="仿宋_GB2312" w:cs="仿宋_GB2312"/>
          <w:sz w:val="32"/>
          <w:szCs w:val="32"/>
          <w:highlight w:val="none"/>
          <w:lang w:val="en-US" w:eastAsia="zh-CN"/>
        </w:rPr>
        <w:t>本协议</w:t>
      </w:r>
      <w:r>
        <w:rPr>
          <w:rFonts w:hint="eastAsia" w:ascii="仿宋_GB2312" w:hAnsi="仿宋_GB2312" w:eastAsia="仿宋_GB2312" w:cs="仿宋_GB2312"/>
          <w:sz w:val="32"/>
          <w:szCs w:val="32"/>
          <w:highlight w:val="none"/>
        </w:rPr>
        <w:t>为准。</w:t>
      </w:r>
    </w:p>
    <w:p w14:paraId="572E82D7">
      <w:pPr>
        <w:keepNext w:val="0"/>
        <w:keepLines w:val="0"/>
        <w:pageBreakBefore w:val="0"/>
        <w:overflowPunct w:val="0"/>
        <w:snapToGrid/>
        <w:spacing w:line="520" w:lineRule="exact"/>
        <w:ind w:left="0" w:leftChars="0"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（二）本协议经双方法定代表人或授权代表签字并加盖公章后生效，有效期至项目全部工作完成并验收合格、所有人员设备撤离现场之日终止。</w:t>
      </w:r>
    </w:p>
    <w:p w14:paraId="76A730E5">
      <w:pPr>
        <w:keepNext w:val="0"/>
        <w:keepLines w:val="0"/>
        <w:pageBreakBefore w:val="0"/>
        <w:overflowPunct w:val="0"/>
        <w:snapToGrid/>
        <w:spacing w:line="52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（三）本协议一式肆份，甲、乙双方各执贰份，具有同等法律效力。</w:t>
      </w:r>
    </w:p>
    <w:p w14:paraId="554C4C21">
      <w:pPr>
        <w:keepNext w:val="0"/>
        <w:keepLines w:val="0"/>
        <w:pageBreakBefore w:val="0"/>
        <w:overflowPunct w:val="0"/>
        <w:snapToGrid/>
        <w:spacing w:line="52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（四）因履行本协议所发生的或与本协议有关的一切争议，双方应友好协商解决；协商不成的，任何一方均有权向甲方所在地人民法院提起诉讼。</w:t>
      </w:r>
    </w:p>
    <w:tbl>
      <w:tblPr>
        <w:tblStyle w:val="27"/>
        <w:tblW w:w="8520" w:type="dxa"/>
        <w:tblInd w:w="0" w:type="dxa"/>
        <w:tblLayout w:type="fixed"/>
        <w:tblCellMar>
          <w:top w:w="0" w:type="dxa"/>
          <w:left w:w="108" w:type="dxa"/>
          <w:bottom w:w="0" w:type="dxa"/>
          <w:right w:w="108" w:type="dxa"/>
        </w:tblCellMar>
      </w:tblPr>
      <w:tblGrid>
        <w:gridCol w:w="4260"/>
        <w:gridCol w:w="4260"/>
      </w:tblGrid>
      <w:tr w14:paraId="303BF77A">
        <w:tblPrEx>
          <w:tblCellMar>
            <w:top w:w="0" w:type="dxa"/>
            <w:left w:w="108" w:type="dxa"/>
            <w:bottom w:w="0" w:type="dxa"/>
            <w:right w:w="108" w:type="dxa"/>
          </w:tblCellMar>
        </w:tblPrEx>
        <w:tc>
          <w:tcPr>
            <w:tcW w:w="4260" w:type="dxa"/>
            <w:noWrap w:val="0"/>
            <w:vAlign w:val="top"/>
          </w:tcPr>
          <w:p w14:paraId="0FBCC71C">
            <w:pPr>
              <w:keepNext w:val="0"/>
              <w:keepLines w:val="0"/>
              <w:pageBreakBefore w:val="0"/>
              <w:snapToGrid/>
              <w:spacing w:line="560" w:lineRule="exact"/>
              <w:rPr>
                <w:rFonts w:hint="eastAsia" w:ascii="仿宋_GB2312" w:hAnsi="仿宋_GB2312" w:eastAsia="仿宋_GB2312" w:cs="仿宋_GB2312"/>
                <w:sz w:val="32"/>
                <w:szCs w:val="32"/>
              </w:rPr>
            </w:pPr>
          </w:p>
          <w:p w14:paraId="2BE15256">
            <w:pPr>
              <w:keepNext w:val="0"/>
              <w:keepLines w:val="0"/>
              <w:pageBreakBefore w:val="0"/>
              <w:snapToGrid/>
              <w:spacing w:line="560" w:lineRule="exact"/>
              <w:ind w:left="0" w:leftChars="0"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甲  方（盖章）： </w:t>
            </w:r>
          </w:p>
        </w:tc>
        <w:tc>
          <w:tcPr>
            <w:tcW w:w="4260" w:type="dxa"/>
            <w:noWrap w:val="0"/>
            <w:vAlign w:val="top"/>
          </w:tcPr>
          <w:p w14:paraId="4D354F9B">
            <w:pPr>
              <w:keepNext w:val="0"/>
              <w:keepLines w:val="0"/>
              <w:pageBreakBefore w:val="0"/>
              <w:snapToGrid/>
              <w:spacing w:line="560" w:lineRule="exact"/>
              <w:ind w:firstLine="627" w:firstLineChars="196"/>
              <w:rPr>
                <w:rFonts w:hint="eastAsia" w:ascii="仿宋_GB2312" w:hAnsi="仿宋_GB2312" w:eastAsia="仿宋_GB2312" w:cs="仿宋_GB2312"/>
                <w:sz w:val="32"/>
                <w:szCs w:val="32"/>
              </w:rPr>
            </w:pPr>
          </w:p>
          <w:p w14:paraId="1DCC239E">
            <w:pPr>
              <w:keepNext w:val="0"/>
              <w:keepLines w:val="0"/>
              <w:pageBreakBefore w:val="0"/>
              <w:snapToGrid/>
              <w:spacing w:line="560" w:lineRule="exact"/>
              <w:ind w:left="0" w:leftChars="0"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乙  方（盖章）： </w:t>
            </w:r>
          </w:p>
        </w:tc>
      </w:tr>
      <w:tr w14:paraId="6E87905B">
        <w:tblPrEx>
          <w:tblCellMar>
            <w:top w:w="0" w:type="dxa"/>
            <w:left w:w="108" w:type="dxa"/>
            <w:bottom w:w="0" w:type="dxa"/>
            <w:right w:w="108" w:type="dxa"/>
          </w:tblCellMar>
        </w:tblPrEx>
        <w:tc>
          <w:tcPr>
            <w:tcW w:w="4260" w:type="dxa"/>
            <w:noWrap w:val="0"/>
            <w:vAlign w:val="top"/>
          </w:tcPr>
          <w:p w14:paraId="711E79D0">
            <w:pPr>
              <w:keepNext w:val="0"/>
              <w:keepLines w:val="0"/>
              <w:pageBreakBefore w:val="0"/>
              <w:snapToGrid/>
              <w:spacing w:line="560" w:lineRule="exact"/>
              <w:ind w:firstLine="627" w:firstLineChars="196"/>
              <w:rPr>
                <w:rFonts w:hint="eastAsia" w:ascii="仿宋_GB2312" w:hAnsi="仿宋_GB2312" w:eastAsia="仿宋_GB2312" w:cs="仿宋_GB2312"/>
                <w:sz w:val="32"/>
                <w:szCs w:val="32"/>
              </w:rPr>
            </w:pPr>
          </w:p>
          <w:p w14:paraId="678E7299">
            <w:pPr>
              <w:keepNext w:val="0"/>
              <w:keepLines w:val="0"/>
              <w:pageBreakBefore w:val="0"/>
              <w:snapToGrid/>
              <w:spacing w:line="560" w:lineRule="exact"/>
              <w:ind w:left="0" w:leftChars="0"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负责人签字：</w:t>
            </w:r>
          </w:p>
        </w:tc>
        <w:tc>
          <w:tcPr>
            <w:tcW w:w="4260" w:type="dxa"/>
            <w:noWrap w:val="0"/>
            <w:vAlign w:val="top"/>
          </w:tcPr>
          <w:p w14:paraId="2A5157FF">
            <w:pPr>
              <w:keepNext w:val="0"/>
              <w:keepLines w:val="0"/>
              <w:pageBreakBefore w:val="0"/>
              <w:snapToGrid/>
              <w:spacing w:line="560" w:lineRule="exact"/>
              <w:ind w:firstLine="627" w:firstLineChars="196"/>
              <w:rPr>
                <w:rFonts w:hint="eastAsia" w:ascii="仿宋_GB2312" w:hAnsi="仿宋_GB2312" w:eastAsia="仿宋_GB2312" w:cs="仿宋_GB2312"/>
                <w:sz w:val="32"/>
                <w:szCs w:val="32"/>
              </w:rPr>
            </w:pPr>
          </w:p>
          <w:p w14:paraId="0CFE1882">
            <w:pPr>
              <w:keepNext w:val="0"/>
              <w:keepLines w:val="0"/>
              <w:pageBreakBefore w:val="0"/>
              <w:snapToGrid/>
              <w:spacing w:line="560" w:lineRule="exact"/>
              <w:ind w:left="0" w:leftChars="0"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负责人签字：</w:t>
            </w:r>
          </w:p>
        </w:tc>
      </w:tr>
      <w:tr w14:paraId="5CC4A6DD">
        <w:tblPrEx>
          <w:tblCellMar>
            <w:top w:w="0" w:type="dxa"/>
            <w:left w:w="108" w:type="dxa"/>
            <w:bottom w:w="0" w:type="dxa"/>
            <w:right w:w="108" w:type="dxa"/>
          </w:tblCellMar>
        </w:tblPrEx>
        <w:tc>
          <w:tcPr>
            <w:tcW w:w="4260" w:type="dxa"/>
            <w:noWrap w:val="0"/>
            <w:vAlign w:val="top"/>
          </w:tcPr>
          <w:p w14:paraId="122616C7">
            <w:pPr>
              <w:keepNext w:val="0"/>
              <w:keepLines w:val="0"/>
              <w:pageBreakBefore w:val="0"/>
              <w:snapToGrid/>
              <w:spacing w:line="560" w:lineRule="exact"/>
              <w:ind w:firstLine="627" w:firstLineChars="196"/>
              <w:rPr>
                <w:rFonts w:hint="eastAsia" w:ascii="仿宋_GB2312" w:hAnsi="仿宋_GB2312" w:eastAsia="仿宋_GB2312" w:cs="仿宋_GB2312"/>
                <w:sz w:val="32"/>
                <w:szCs w:val="32"/>
              </w:rPr>
            </w:pPr>
          </w:p>
          <w:p w14:paraId="16BBB3DA">
            <w:pPr>
              <w:keepNext w:val="0"/>
              <w:keepLines w:val="0"/>
              <w:pageBreakBefore w:val="0"/>
              <w:snapToGrid/>
              <w:spacing w:line="560" w:lineRule="exact"/>
              <w:ind w:left="0" w:leftChars="0"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签字日期：</w:t>
            </w:r>
          </w:p>
        </w:tc>
        <w:tc>
          <w:tcPr>
            <w:tcW w:w="4260" w:type="dxa"/>
            <w:noWrap w:val="0"/>
            <w:vAlign w:val="top"/>
          </w:tcPr>
          <w:p w14:paraId="2113B507">
            <w:pPr>
              <w:keepNext w:val="0"/>
              <w:keepLines w:val="0"/>
              <w:pageBreakBefore w:val="0"/>
              <w:snapToGrid/>
              <w:spacing w:line="560" w:lineRule="exact"/>
              <w:ind w:firstLine="627" w:firstLineChars="196"/>
              <w:rPr>
                <w:rFonts w:hint="eastAsia" w:ascii="仿宋_GB2312" w:hAnsi="仿宋_GB2312" w:eastAsia="仿宋_GB2312" w:cs="仿宋_GB2312"/>
                <w:sz w:val="32"/>
                <w:szCs w:val="32"/>
              </w:rPr>
            </w:pPr>
          </w:p>
          <w:p w14:paraId="3EA689F3">
            <w:pPr>
              <w:keepNext w:val="0"/>
              <w:keepLines w:val="0"/>
              <w:pageBreakBefore w:val="0"/>
              <w:snapToGrid/>
              <w:spacing w:line="560" w:lineRule="exact"/>
              <w:ind w:left="0" w:leftChars="0"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签字日期：</w:t>
            </w:r>
          </w:p>
        </w:tc>
      </w:tr>
    </w:tbl>
    <w:p w14:paraId="1D27ABDA">
      <w:pPr>
        <w:keepNext w:val="0"/>
        <w:keepLines w:val="0"/>
        <w:pageBreakBefore w:val="0"/>
        <w:snapToGrid/>
        <w:spacing w:line="560" w:lineRule="exact"/>
        <w:rPr>
          <w:rFonts w:hint="eastAsia" w:ascii="仿宋_GB2312" w:hAnsi="仿宋_GB2312" w:eastAsia="仿宋_GB2312" w:cs="仿宋_GB2312"/>
          <w:sz w:val="32"/>
          <w:szCs w:val="32"/>
        </w:rPr>
      </w:pPr>
    </w:p>
    <w:sectPr>
      <w:footerReference r:id="rId5" w:type="default"/>
      <w:pgSz w:w="11906" w:h="16838"/>
      <w:pgMar w:top="1304" w:right="1304" w:bottom="1587" w:left="1304" w:header="851" w:footer="992" w:gutter="0"/>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70C733A-04E0-4240-AB60-AC7D7518E97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B04CBC74-CB83-491A-85ED-283F3F7E1DD0}"/>
  </w:font>
  <w:font w:name="仿宋">
    <w:panose1 w:val="02010609060101010101"/>
    <w:charset w:val="86"/>
    <w:family w:val="auto"/>
    <w:pitch w:val="default"/>
    <w:sig w:usb0="800002BF" w:usb1="38CF7CFA" w:usb2="00000016" w:usb3="00000000" w:csb0="00040001" w:csb1="00000000"/>
    <w:embedRegular r:id="rId3" w:fontKey="{6E56C7E3-0583-4BAE-B845-9E48C495FC14}"/>
  </w:font>
  <w:font w:name="仿宋_GB2312">
    <w:panose1 w:val="02010609030101010101"/>
    <w:charset w:val="86"/>
    <w:family w:val="auto"/>
    <w:pitch w:val="default"/>
    <w:sig w:usb0="00000001" w:usb1="080E0000" w:usb2="00000000" w:usb3="00000000" w:csb0="00040000" w:csb1="00000000"/>
    <w:embedRegular r:id="rId4" w:fontKey="{6CF57CE0-2DC6-40C9-AE67-A188A9CA9686}"/>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9A175">
    <w:pPr>
      <w:pStyle w:val="1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-295275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wps:spPr bwMode="auto">
                      <a:xfrm>
                        <a:off x="0" y="0"/>
                        <a:ext cx="1828800" cy="1828800"/>
                      </a:xfrm>
                      <a:prstGeom prst="rect">
                        <a:avLst/>
                      </a:prstGeom>
                      <a:noFill/>
                      <a:ln w="6350">
                        <a:noFill/>
                      </a:ln>
                    </wps:spPr>
                    <wps:txbx>
                      <w:txbxContent>
                        <w:p w14:paraId="3BBBB95B">
                          <w:pPr>
                            <w:pStyle w:val="17"/>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rect id="文本框 1" o:spid="_x0000_s1026" o:spt="1" style="position:absolute;left:0pt;margin-top:-23.25pt;height:144pt;width:144pt;mso-position-horizontal:outside;mso-position-horizontal-relative:margin;mso-wrap-style:none;z-index:251659264;mso-width-relative:page;mso-height-relative:page;" filled="f" stroked="f" coordsize="21600,21600" o:gfxdata="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rjo0ztsAAAAIAQAADwAAAAAAAAABACAAAAAiAAAAZHJzL2Rv&#10;d25yZXYueG1sUEsBAhQAFAAAAAgAh07iQGiiKwc3AgAAZQQAAA4AAAAAAAAAAQAgAAAAKgEAAGRy&#10;cy9lMm9Eb2MueG1sUEsFBgAAAAAGAAYAWQEAANMFAAAAAA==&#10;">
              <v:fill on="f" focussize="0,0"/>
              <v:stroke on="f" weight="0.5pt"/>
              <v:imagedata o:title=""/>
              <o:lock v:ext="edit" aspectratio="f"/>
              <v:textbox inset="0mm,0mm,0mm,0mm" style="mso-fit-shape-to-text:t;">
                <w:txbxContent>
                  <w:p w14:paraId="3BBBB95B">
                    <w:pPr>
                      <w:pStyle w:val="17"/>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embedTrueTypeFonts/>
  <w:saveSubsetFonts/>
  <w:trackRevisions w:val="1"/>
  <w:documentProtection w:enforcement="0"/>
  <w:defaultTabStop w:val="420"/>
  <w:noPunctuationKerning w:val="1"/>
  <w:characterSpacingControl w:val="compressPunctuation"/>
  <w:footnotePr>
    <w:footnote w:id="0"/>
    <w:footnote w:id="1"/>
  </w:footnotePr>
  <w:endnotePr>
    <w:endnote w:id="0"/>
    <w:endnote w:id="1"/>
  </w:endnotePr>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E21AED"/>
    <w:rsid w:val="05212F78"/>
    <w:rsid w:val="1B850971"/>
    <w:rsid w:val="3370031B"/>
    <w:rsid w:val="33BE2148"/>
    <w:rsid w:val="4D6B3D5A"/>
    <w:rsid w:val="59452C2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nhideWhenUsed="0" w:uiPriority="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auto"/>
      <w:ind w:left="0" w:right="0" w:firstLine="0"/>
      <w:jc w:val="both"/>
    </w:pPr>
    <w:rPr>
      <w:rFonts w:hint="default" w:ascii="Calibri" w:hAnsi="Calibri" w:eastAsia="宋体" w:cs="Times New Roman"/>
      <w:color w:val="auto"/>
      <w:spacing w:val="0"/>
      <w:kern w:val="2"/>
      <w:position w:val="0"/>
      <w:sz w:val="21"/>
      <w:szCs w:val="24"/>
      <w:lang w:val="en-US" w:eastAsia="zh-CN" w:bidi="ar-SA"/>
    </w:rPr>
  </w:style>
  <w:style w:type="paragraph" w:styleId="2">
    <w:name w:val="heading 1"/>
    <w:basedOn w:val="1"/>
    <w:next w:val="1"/>
    <w:qFormat/>
    <w:uiPriority w:val="9"/>
    <w:pPr>
      <w:ind w:left="3354" w:hanging="30"/>
      <w:outlineLvl w:val="0"/>
    </w:pPr>
    <w:rPr>
      <w:rFonts w:ascii="宋体" w:hAnsi="宋体" w:cs="宋体"/>
      <w:sz w:val="41"/>
      <w:szCs w:val="41"/>
    </w:rPr>
  </w:style>
  <w:style w:type="paragraph" w:styleId="3">
    <w:name w:val="heading 2"/>
    <w:basedOn w:val="1"/>
    <w:next w:val="1"/>
    <w:link w:val="33"/>
    <w:unhideWhenUsed/>
    <w:qFormat/>
    <w:uiPriority w:val="9"/>
    <w:pPr>
      <w:keepNext/>
      <w:keepLines/>
      <w:overflowPunct w:val="0"/>
      <w:autoSpaceDE w:val="0"/>
      <w:autoSpaceDN w:val="0"/>
      <w:spacing w:before="360" w:after="200"/>
      <w:outlineLvl w:val="1"/>
    </w:pPr>
    <w:rPr>
      <w:rFonts w:ascii="Arial" w:hAnsi="Arial" w:eastAsia="Arial" w:cs="Arial"/>
      <w:sz w:val="34"/>
    </w:rPr>
  </w:style>
  <w:style w:type="paragraph" w:styleId="4">
    <w:name w:val="heading 3"/>
    <w:basedOn w:val="1"/>
    <w:next w:val="1"/>
    <w:link w:val="34"/>
    <w:unhideWhenUsed/>
    <w:qFormat/>
    <w:uiPriority w:val="9"/>
    <w:pPr>
      <w:keepNext/>
      <w:keepLines/>
      <w:overflowPunct w:val="0"/>
      <w:autoSpaceDE w:val="0"/>
      <w:autoSpaceDN w:val="0"/>
      <w:spacing w:before="320" w:after="200"/>
      <w:outlineLvl w:val="2"/>
    </w:pPr>
    <w:rPr>
      <w:rFonts w:ascii="Arial" w:hAnsi="Arial" w:eastAsia="Arial" w:cs="Arial"/>
      <w:sz w:val="30"/>
      <w:szCs w:val="30"/>
    </w:rPr>
  </w:style>
  <w:style w:type="paragraph" w:styleId="5">
    <w:name w:val="heading 4"/>
    <w:basedOn w:val="1"/>
    <w:next w:val="1"/>
    <w:link w:val="35"/>
    <w:unhideWhenUsed/>
    <w:qFormat/>
    <w:uiPriority w:val="9"/>
    <w:pPr>
      <w:keepNext/>
      <w:keepLines/>
      <w:overflowPunct w:val="0"/>
      <w:autoSpaceDE w:val="0"/>
      <w:autoSpaceDN w:val="0"/>
      <w:spacing w:before="320" w:after="200"/>
      <w:outlineLvl w:val="3"/>
    </w:pPr>
    <w:rPr>
      <w:rFonts w:ascii="Arial" w:hAnsi="Arial" w:eastAsia="Arial" w:cs="Arial"/>
      <w:b/>
      <w:bCs/>
      <w:sz w:val="26"/>
      <w:szCs w:val="26"/>
    </w:rPr>
  </w:style>
  <w:style w:type="paragraph" w:styleId="6">
    <w:name w:val="heading 5"/>
    <w:basedOn w:val="1"/>
    <w:next w:val="1"/>
    <w:link w:val="36"/>
    <w:unhideWhenUsed/>
    <w:qFormat/>
    <w:uiPriority w:val="9"/>
    <w:pPr>
      <w:keepNext/>
      <w:keepLines/>
      <w:overflowPunct w:val="0"/>
      <w:autoSpaceDE w:val="0"/>
      <w:autoSpaceDN w:val="0"/>
      <w:spacing w:before="320" w:after="200"/>
      <w:outlineLvl w:val="4"/>
    </w:pPr>
    <w:rPr>
      <w:rFonts w:ascii="Arial" w:hAnsi="Arial" w:eastAsia="Arial" w:cs="Arial"/>
      <w:b/>
      <w:bCs/>
      <w:sz w:val="24"/>
      <w:szCs w:val="24"/>
    </w:rPr>
  </w:style>
  <w:style w:type="paragraph" w:styleId="7">
    <w:name w:val="heading 6"/>
    <w:basedOn w:val="1"/>
    <w:next w:val="1"/>
    <w:link w:val="37"/>
    <w:unhideWhenUsed/>
    <w:qFormat/>
    <w:uiPriority w:val="9"/>
    <w:pPr>
      <w:keepNext/>
      <w:keepLines/>
      <w:overflowPunct w:val="0"/>
      <w:autoSpaceDE w:val="0"/>
      <w:autoSpaceDN w:val="0"/>
      <w:spacing w:before="320" w:after="200"/>
      <w:outlineLvl w:val="5"/>
    </w:pPr>
    <w:rPr>
      <w:rFonts w:ascii="Arial" w:hAnsi="Arial" w:eastAsia="Arial" w:cs="Arial"/>
      <w:b/>
      <w:bCs/>
      <w:sz w:val="22"/>
      <w:szCs w:val="22"/>
    </w:rPr>
  </w:style>
  <w:style w:type="paragraph" w:styleId="8">
    <w:name w:val="heading 7"/>
    <w:basedOn w:val="1"/>
    <w:next w:val="1"/>
    <w:link w:val="38"/>
    <w:unhideWhenUsed/>
    <w:qFormat/>
    <w:uiPriority w:val="9"/>
    <w:pPr>
      <w:keepNext/>
      <w:keepLines/>
      <w:overflowPunct w:val="0"/>
      <w:autoSpaceDE w:val="0"/>
      <w:autoSpaceDN w:val="0"/>
      <w:spacing w:before="320" w:after="200"/>
      <w:outlineLvl w:val="6"/>
    </w:pPr>
    <w:rPr>
      <w:rFonts w:ascii="Arial" w:hAnsi="Arial" w:eastAsia="Arial" w:cs="Arial"/>
      <w:b/>
      <w:bCs/>
      <w:i/>
      <w:iCs/>
      <w:sz w:val="22"/>
      <w:szCs w:val="22"/>
    </w:rPr>
  </w:style>
  <w:style w:type="paragraph" w:styleId="9">
    <w:name w:val="heading 8"/>
    <w:basedOn w:val="1"/>
    <w:next w:val="1"/>
    <w:link w:val="39"/>
    <w:unhideWhenUsed/>
    <w:qFormat/>
    <w:uiPriority w:val="9"/>
    <w:pPr>
      <w:keepNext/>
      <w:keepLines/>
      <w:overflowPunct w:val="0"/>
      <w:autoSpaceDE w:val="0"/>
      <w:autoSpaceDN w:val="0"/>
      <w:spacing w:before="320" w:after="200"/>
      <w:outlineLvl w:val="7"/>
    </w:pPr>
    <w:rPr>
      <w:rFonts w:ascii="Arial" w:hAnsi="Arial" w:eastAsia="Arial" w:cs="Arial"/>
      <w:i/>
      <w:iCs/>
      <w:sz w:val="22"/>
      <w:szCs w:val="22"/>
    </w:rPr>
  </w:style>
  <w:style w:type="paragraph" w:styleId="10">
    <w:name w:val="heading 9"/>
    <w:basedOn w:val="1"/>
    <w:next w:val="1"/>
    <w:link w:val="40"/>
    <w:unhideWhenUsed/>
    <w:qFormat/>
    <w:uiPriority w:val="9"/>
    <w:pPr>
      <w:keepNext/>
      <w:keepLines/>
      <w:overflowPunct w:val="0"/>
      <w:autoSpaceDE w:val="0"/>
      <w:autoSpaceDN w:val="0"/>
      <w:spacing w:before="320" w:after="200"/>
      <w:outlineLvl w:val="8"/>
    </w:pPr>
    <w:rPr>
      <w:rFonts w:ascii="Arial" w:hAnsi="Arial" w:eastAsia="Arial" w:cs="Arial"/>
      <w:i/>
      <w:iCs/>
      <w:sz w:val="21"/>
      <w:szCs w:val="21"/>
    </w:rPr>
  </w:style>
  <w:style w:type="character" w:default="1" w:styleId="29">
    <w:name w:val="Default Paragraph Font"/>
    <w:semiHidden/>
    <w:qFormat/>
    <w:uiPriority w:val="0"/>
  </w:style>
  <w:style w:type="table" w:default="1" w:styleId="27">
    <w:name w:val="Normal Table"/>
    <w:semiHidden/>
    <w:qFormat/>
    <w:uiPriority w:val="0"/>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qFormat/>
    <w:uiPriority w:val="39"/>
    <w:pPr>
      <w:overflowPunct w:val="0"/>
      <w:autoSpaceDE w:val="0"/>
      <w:autoSpaceDN w:val="0"/>
      <w:spacing w:after="57"/>
      <w:ind w:left="1701" w:right="0" w:firstLine="0"/>
    </w:pPr>
  </w:style>
  <w:style w:type="paragraph" w:styleId="12">
    <w:name w:val="caption"/>
    <w:basedOn w:val="1"/>
    <w:next w:val="1"/>
    <w:semiHidden/>
    <w:unhideWhenUsed/>
    <w:qFormat/>
    <w:uiPriority w:val="35"/>
    <w:pPr>
      <w:overflowPunct w:val="0"/>
      <w:autoSpaceDE w:val="0"/>
      <w:autoSpaceDN w:val="0"/>
      <w:spacing w:line="276" w:lineRule="auto"/>
    </w:pPr>
    <w:rPr>
      <w:b/>
      <w:bCs/>
      <w:color w:val="4F81BD" w:themeColor="accent1"/>
      <w:sz w:val="18"/>
      <w:szCs w:val="18"/>
      <w14:textFill>
        <w14:solidFill>
          <w14:schemeClr w14:val="accent1"/>
        </w14:solidFill>
      </w14:textFill>
    </w:rPr>
  </w:style>
  <w:style w:type="paragraph" w:styleId="13">
    <w:name w:val="annotation text"/>
    <w:basedOn w:val="1"/>
    <w:qFormat/>
    <w:uiPriority w:val="0"/>
    <w:pPr>
      <w:jc w:val="left"/>
    </w:pPr>
  </w:style>
  <w:style w:type="paragraph" w:styleId="14">
    <w:name w:val="toc 5"/>
    <w:basedOn w:val="1"/>
    <w:next w:val="1"/>
    <w:unhideWhenUsed/>
    <w:qFormat/>
    <w:uiPriority w:val="39"/>
    <w:pPr>
      <w:overflowPunct w:val="0"/>
      <w:autoSpaceDE w:val="0"/>
      <w:autoSpaceDN w:val="0"/>
      <w:spacing w:after="57"/>
      <w:ind w:left="1134" w:right="0" w:firstLine="0"/>
    </w:pPr>
  </w:style>
  <w:style w:type="paragraph" w:styleId="15">
    <w:name w:val="toc 3"/>
    <w:basedOn w:val="1"/>
    <w:next w:val="1"/>
    <w:unhideWhenUsed/>
    <w:qFormat/>
    <w:uiPriority w:val="39"/>
    <w:pPr>
      <w:overflowPunct w:val="0"/>
      <w:autoSpaceDE w:val="0"/>
      <w:autoSpaceDN w:val="0"/>
      <w:spacing w:after="57"/>
      <w:ind w:left="567" w:right="0" w:firstLine="0"/>
    </w:pPr>
  </w:style>
  <w:style w:type="paragraph" w:styleId="16">
    <w:name w:val="toc 8"/>
    <w:basedOn w:val="1"/>
    <w:next w:val="1"/>
    <w:unhideWhenUsed/>
    <w:qFormat/>
    <w:uiPriority w:val="39"/>
    <w:pPr>
      <w:overflowPunct w:val="0"/>
      <w:autoSpaceDE w:val="0"/>
      <w:autoSpaceDN w:val="0"/>
      <w:spacing w:after="57"/>
      <w:ind w:left="1984" w:right="0" w:firstLine="0"/>
    </w:pPr>
  </w:style>
  <w:style w:type="paragraph" w:styleId="17">
    <w:name w:val="footer"/>
    <w:basedOn w:val="1"/>
    <w:qFormat/>
    <w:uiPriority w:val="0"/>
    <w:pPr>
      <w:tabs>
        <w:tab w:val="center" w:pos="4153"/>
        <w:tab w:val="right" w:pos="8306"/>
      </w:tabs>
      <w:snapToGrid w:val="0"/>
      <w:jc w:val="left"/>
    </w:pPr>
    <w:rPr>
      <w:sz w:val="18"/>
    </w:rPr>
  </w:style>
  <w:style w:type="paragraph" w:styleId="1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9">
    <w:name w:val="toc 1"/>
    <w:basedOn w:val="1"/>
    <w:next w:val="1"/>
    <w:unhideWhenUsed/>
    <w:qFormat/>
    <w:uiPriority w:val="39"/>
    <w:pPr>
      <w:overflowPunct w:val="0"/>
      <w:autoSpaceDE w:val="0"/>
      <w:autoSpaceDN w:val="0"/>
      <w:spacing w:after="57"/>
      <w:ind w:left="0" w:right="0" w:firstLine="0"/>
    </w:pPr>
  </w:style>
  <w:style w:type="paragraph" w:styleId="20">
    <w:name w:val="toc 4"/>
    <w:basedOn w:val="1"/>
    <w:next w:val="1"/>
    <w:unhideWhenUsed/>
    <w:qFormat/>
    <w:uiPriority w:val="39"/>
    <w:pPr>
      <w:overflowPunct w:val="0"/>
      <w:autoSpaceDE w:val="0"/>
      <w:autoSpaceDN w:val="0"/>
      <w:spacing w:after="57"/>
      <w:ind w:left="850" w:right="0" w:firstLine="0"/>
    </w:pPr>
  </w:style>
  <w:style w:type="paragraph" w:styleId="21">
    <w:name w:val="Subtitle"/>
    <w:basedOn w:val="1"/>
    <w:next w:val="1"/>
    <w:link w:val="44"/>
    <w:qFormat/>
    <w:uiPriority w:val="11"/>
    <w:pPr>
      <w:overflowPunct w:val="0"/>
      <w:autoSpaceDE w:val="0"/>
      <w:autoSpaceDN w:val="0"/>
      <w:spacing w:before="200" w:after="200"/>
    </w:pPr>
    <w:rPr>
      <w:sz w:val="24"/>
      <w:szCs w:val="24"/>
    </w:rPr>
  </w:style>
  <w:style w:type="paragraph" w:styleId="22">
    <w:name w:val="footnote text"/>
    <w:basedOn w:val="1"/>
    <w:link w:val="79"/>
    <w:semiHidden/>
    <w:unhideWhenUsed/>
    <w:qFormat/>
    <w:uiPriority w:val="99"/>
    <w:pPr>
      <w:overflowPunct w:val="0"/>
      <w:autoSpaceDE w:val="0"/>
      <w:autoSpaceDN w:val="0"/>
      <w:spacing w:after="40" w:line="240" w:lineRule="auto"/>
    </w:pPr>
    <w:rPr>
      <w:sz w:val="18"/>
    </w:rPr>
  </w:style>
  <w:style w:type="paragraph" w:styleId="23">
    <w:name w:val="toc 6"/>
    <w:basedOn w:val="1"/>
    <w:next w:val="1"/>
    <w:unhideWhenUsed/>
    <w:qFormat/>
    <w:uiPriority w:val="39"/>
    <w:pPr>
      <w:overflowPunct w:val="0"/>
      <w:autoSpaceDE w:val="0"/>
      <w:autoSpaceDN w:val="0"/>
      <w:spacing w:after="57"/>
      <w:ind w:left="1417" w:right="0" w:firstLine="0"/>
    </w:pPr>
  </w:style>
  <w:style w:type="paragraph" w:styleId="24">
    <w:name w:val="toc 2"/>
    <w:basedOn w:val="1"/>
    <w:next w:val="1"/>
    <w:unhideWhenUsed/>
    <w:qFormat/>
    <w:uiPriority w:val="39"/>
    <w:pPr>
      <w:overflowPunct w:val="0"/>
      <w:autoSpaceDE w:val="0"/>
      <w:autoSpaceDN w:val="0"/>
      <w:spacing w:after="57"/>
      <w:ind w:left="283" w:right="0" w:firstLine="0"/>
    </w:pPr>
  </w:style>
  <w:style w:type="paragraph" w:styleId="25">
    <w:name w:val="toc 9"/>
    <w:basedOn w:val="1"/>
    <w:next w:val="1"/>
    <w:unhideWhenUsed/>
    <w:qFormat/>
    <w:uiPriority w:val="39"/>
    <w:pPr>
      <w:overflowPunct w:val="0"/>
      <w:autoSpaceDE w:val="0"/>
      <w:autoSpaceDN w:val="0"/>
      <w:spacing w:after="57"/>
      <w:ind w:left="2268" w:right="0" w:firstLine="0"/>
    </w:pPr>
  </w:style>
  <w:style w:type="paragraph" w:styleId="26">
    <w:name w:val="Title"/>
    <w:basedOn w:val="1"/>
    <w:next w:val="1"/>
    <w:link w:val="43"/>
    <w:qFormat/>
    <w:uiPriority w:val="10"/>
    <w:pPr>
      <w:overflowPunct w:val="0"/>
      <w:autoSpaceDE w:val="0"/>
      <w:autoSpaceDN w:val="0"/>
      <w:spacing w:before="300" w:after="200"/>
      <w:contextualSpacing/>
    </w:pPr>
    <w:rPr>
      <w:sz w:val="48"/>
      <w:szCs w:val="48"/>
    </w:rPr>
  </w:style>
  <w:style w:type="table" w:styleId="28">
    <w:name w:val="Table Grid"/>
    <w:basedOn w:val="27"/>
    <w:qFormat/>
    <w:uiPriority w:val="59"/>
    <w:pPr>
      <w:overflowPunct w:val="0"/>
      <w:autoSpaceDE w:val="0"/>
      <w:autoSpaceDN w:val="0"/>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0">
    <w:name w:val="Hyperlink"/>
    <w:unhideWhenUsed/>
    <w:qFormat/>
    <w:uiPriority w:val="99"/>
    <w:rPr>
      <w:color w:val="0000FF" w:themeColor="hyperlink"/>
      <w:u w:val="single"/>
      <w14:textFill>
        <w14:solidFill>
          <w14:schemeClr w14:val="hlink"/>
        </w14:solidFill>
      </w14:textFill>
    </w:rPr>
  </w:style>
  <w:style w:type="character" w:styleId="31">
    <w:name w:val="footnote reference"/>
    <w:basedOn w:val="29"/>
    <w:unhideWhenUsed/>
    <w:qFormat/>
    <w:uiPriority w:val="99"/>
    <w:rPr>
      <w:vertAlign w:val="superscript"/>
    </w:rPr>
  </w:style>
  <w:style w:type="character" w:customStyle="1" w:styleId="32">
    <w:name w:val="Heading 1 Char"/>
    <w:basedOn w:val="29"/>
    <w:qFormat/>
    <w:uiPriority w:val="9"/>
    <w:rPr>
      <w:rFonts w:ascii="Arial" w:hAnsi="Arial" w:eastAsia="Arial" w:cs="Arial"/>
      <w:sz w:val="40"/>
      <w:szCs w:val="40"/>
    </w:rPr>
  </w:style>
  <w:style w:type="character" w:customStyle="1" w:styleId="33">
    <w:name w:val="Heading 2 Char"/>
    <w:basedOn w:val="29"/>
    <w:link w:val="3"/>
    <w:qFormat/>
    <w:uiPriority w:val="9"/>
    <w:rPr>
      <w:rFonts w:ascii="Arial" w:hAnsi="Arial" w:eastAsia="Arial" w:cs="Arial"/>
      <w:sz w:val="34"/>
    </w:rPr>
  </w:style>
  <w:style w:type="character" w:customStyle="1" w:styleId="34">
    <w:name w:val="Heading 3 Char"/>
    <w:basedOn w:val="29"/>
    <w:link w:val="4"/>
    <w:qFormat/>
    <w:uiPriority w:val="9"/>
    <w:rPr>
      <w:rFonts w:ascii="Arial" w:hAnsi="Arial" w:eastAsia="Arial" w:cs="Arial"/>
      <w:sz w:val="30"/>
      <w:szCs w:val="30"/>
    </w:rPr>
  </w:style>
  <w:style w:type="character" w:customStyle="1" w:styleId="35">
    <w:name w:val="Heading 4 Char"/>
    <w:basedOn w:val="29"/>
    <w:link w:val="5"/>
    <w:qFormat/>
    <w:uiPriority w:val="9"/>
    <w:rPr>
      <w:rFonts w:ascii="Arial" w:hAnsi="Arial" w:eastAsia="Arial" w:cs="Arial"/>
      <w:b/>
      <w:bCs/>
      <w:sz w:val="26"/>
      <w:szCs w:val="26"/>
    </w:rPr>
  </w:style>
  <w:style w:type="character" w:customStyle="1" w:styleId="36">
    <w:name w:val="Heading 5 Char"/>
    <w:basedOn w:val="29"/>
    <w:link w:val="6"/>
    <w:qFormat/>
    <w:uiPriority w:val="9"/>
    <w:rPr>
      <w:rFonts w:ascii="Arial" w:hAnsi="Arial" w:eastAsia="Arial" w:cs="Arial"/>
      <w:b/>
      <w:bCs/>
      <w:sz w:val="24"/>
      <w:szCs w:val="24"/>
    </w:rPr>
  </w:style>
  <w:style w:type="character" w:customStyle="1" w:styleId="37">
    <w:name w:val="Heading 6 Char"/>
    <w:basedOn w:val="29"/>
    <w:link w:val="7"/>
    <w:qFormat/>
    <w:uiPriority w:val="9"/>
    <w:rPr>
      <w:rFonts w:ascii="Arial" w:hAnsi="Arial" w:eastAsia="Arial" w:cs="Arial"/>
      <w:b/>
      <w:bCs/>
      <w:sz w:val="22"/>
      <w:szCs w:val="22"/>
    </w:rPr>
  </w:style>
  <w:style w:type="character" w:customStyle="1" w:styleId="38">
    <w:name w:val="Heading 7 Char"/>
    <w:basedOn w:val="29"/>
    <w:link w:val="8"/>
    <w:qFormat/>
    <w:uiPriority w:val="9"/>
    <w:rPr>
      <w:rFonts w:ascii="Arial" w:hAnsi="Arial" w:eastAsia="Arial" w:cs="Arial"/>
      <w:b/>
      <w:bCs/>
      <w:i/>
      <w:iCs/>
      <w:sz w:val="22"/>
      <w:szCs w:val="22"/>
    </w:rPr>
  </w:style>
  <w:style w:type="character" w:customStyle="1" w:styleId="39">
    <w:name w:val="Heading 8 Char"/>
    <w:basedOn w:val="29"/>
    <w:link w:val="9"/>
    <w:qFormat/>
    <w:uiPriority w:val="9"/>
    <w:rPr>
      <w:rFonts w:ascii="Arial" w:hAnsi="Arial" w:eastAsia="Arial" w:cs="Arial"/>
      <w:i/>
      <w:iCs/>
      <w:sz w:val="22"/>
      <w:szCs w:val="22"/>
    </w:rPr>
  </w:style>
  <w:style w:type="character" w:customStyle="1" w:styleId="40">
    <w:name w:val="Heading 9 Char"/>
    <w:basedOn w:val="29"/>
    <w:link w:val="10"/>
    <w:qFormat/>
    <w:uiPriority w:val="9"/>
    <w:rPr>
      <w:rFonts w:ascii="Arial" w:hAnsi="Arial" w:eastAsia="Arial" w:cs="Arial"/>
      <w:i/>
      <w:iCs/>
      <w:sz w:val="21"/>
      <w:szCs w:val="21"/>
    </w:rPr>
  </w:style>
  <w:style w:type="paragraph" w:styleId="41">
    <w:name w:val="List Paragraph"/>
    <w:basedOn w:val="1"/>
    <w:qFormat/>
    <w:uiPriority w:val="34"/>
    <w:pPr>
      <w:overflowPunct w:val="0"/>
      <w:autoSpaceDE w:val="0"/>
      <w:autoSpaceDN w:val="0"/>
      <w:ind w:left="720"/>
      <w:contextualSpacing/>
    </w:pPr>
  </w:style>
  <w:style w:type="paragraph" w:styleId="42">
    <w:name w:val="No Spacing"/>
    <w:qFormat/>
    <w:uiPriority w:val="1"/>
    <w:pPr>
      <w:pBdr>
        <w:top w:val="none" w:color="000000" w:sz="0" w:space="0"/>
        <w:left w:val="none" w:color="000000" w:sz="0" w:space="0"/>
        <w:bottom w:val="none" w:color="000000" w:sz="0" w:space="0"/>
        <w:right w:val="none" w:color="000000" w:sz="0" w:space="0"/>
        <w:between w:val="none" w:color="000000" w:sz="0" w:space="0"/>
      </w:pBdr>
      <w:overflowPunct w:val="0"/>
      <w:autoSpaceDE w:val="0"/>
      <w:autoSpaceDN w:val="0"/>
      <w:spacing w:before="0" w:beforeAutospacing="0" w:after="0" w:afterAutospacing="0" w:line="240" w:lineRule="auto"/>
      <w:ind w:left="0" w:right="0" w:firstLine="0"/>
      <w:jc w:val="left"/>
    </w:pPr>
    <w:rPr>
      <w:rFonts w:hint="default" w:ascii="Times New Roman" w:hAnsi="Times New Roman" w:eastAsia="宋体" w:cs="Times New Roman"/>
      <w:color w:val="auto"/>
      <w:spacing w:val="0"/>
      <w:position w:val="0"/>
      <w:sz w:val="21"/>
      <w:szCs w:val="22"/>
      <w:lang w:val="en-US" w:eastAsia="en-US" w:bidi="en-US"/>
    </w:rPr>
  </w:style>
  <w:style w:type="character" w:customStyle="1" w:styleId="43">
    <w:name w:val="Title Char"/>
    <w:basedOn w:val="29"/>
    <w:link w:val="26"/>
    <w:qFormat/>
    <w:uiPriority w:val="10"/>
    <w:rPr>
      <w:sz w:val="48"/>
      <w:szCs w:val="48"/>
    </w:rPr>
  </w:style>
  <w:style w:type="character" w:customStyle="1" w:styleId="44">
    <w:name w:val="Subtitle Char"/>
    <w:basedOn w:val="29"/>
    <w:link w:val="21"/>
    <w:qFormat/>
    <w:uiPriority w:val="11"/>
    <w:rPr>
      <w:sz w:val="24"/>
      <w:szCs w:val="24"/>
    </w:rPr>
  </w:style>
  <w:style w:type="paragraph" w:styleId="45">
    <w:name w:val="Quote"/>
    <w:basedOn w:val="1"/>
    <w:next w:val="1"/>
    <w:link w:val="46"/>
    <w:qFormat/>
    <w:uiPriority w:val="29"/>
    <w:pPr>
      <w:overflowPunct w:val="0"/>
      <w:autoSpaceDE w:val="0"/>
      <w:autoSpaceDN w:val="0"/>
      <w:ind w:left="720" w:right="720"/>
    </w:pPr>
    <w:rPr>
      <w:i/>
    </w:rPr>
  </w:style>
  <w:style w:type="character" w:customStyle="1" w:styleId="46">
    <w:name w:val="Quote Char"/>
    <w:link w:val="45"/>
    <w:qFormat/>
    <w:uiPriority w:val="29"/>
    <w:rPr>
      <w:i/>
    </w:rPr>
  </w:style>
  <w:style w:type="paragraph" w:styleId="47">
    <w:name w:val="Intense Quote"/>
    <w:basedOn w:val="1"/>
    <w:next w:val="1"/>
    <w:link w:val="48"/>
    <w:qFormat/>
    <w:uiPriority w:val="30"/>
    <w:pPr>
      <w:pBdr>
        <w:top w:val="single" w:color="FFFFFF" w:sz="4" w:space="5"/>
        <w:left w:val="single" w:color="FFFFFF" w:sz="4" w:space="10"/>
        <w:bottom w:val="single" w:color="FFFFFF" w:sz="4" w:space="5"/>
        <w:right w:val="single" w:color="FFFFFF" w:sz="4" w:space="10"/>
      </w:pBdr>
      <w:shd w:val="clear" w:color="auto" w:fill="F2F2F2"/>
      <w:overflowPunct w:val="0"/>
      <w:autoSpaceDE w:val="0"/>
      <w:autoSpaceDN w:val="0"/>
      <w:ind w:left="720" w:right="720"/>
      <w:contextualSpacing w:val="0"/>
    </w:pPr>
    <w:rPr>
      <w:i/>
    </w:rPr>
  </w:style>
  <w:style w:type="character" w:customStyle="1" w:styleId="48">
    <w:name w:val="Intense Quote Char"/>
    <w:link w:val="47"/>
    <w:qFormat/>
    <w:uiPriority w:val="30"/>
    <w:rPr>
      <w:i/>
    </w:rPr>
  </w:style>
  <w:style w:type="character" w:customStyle="1" w:styleId="49">
    <w:name w:val="Header Char"/>
    <w:basedOn w:val="29"/>
    <w:qFormat/>
    <w:uiPriority w:val="99"/>
  </w:style>
  <w:style w:type="character" w:customStyle="1" w:styleId="50">
    <w:name w:val="Footer Char"/>
    <w:basedOn w:val="29"/>
    <w:qFormat/>
    <w:uiPriority w:val="99"/>
  </w:style>
  <w:style w:type="character" w:customStyle="1" w:styleId="51">
    <w:name w:val="Caption Char"/>
    <w:qFormat/>
    <w:uiPriority w:val="99"/>
  </w:style>
  <w:style w:type="table" w:customStyle="1" w:styleId="52">
    <w:name w:val="Table Grid Light"/>
    <w:basedOn w:val="27"/>
    <w:qFormat/>
    <w:uiPriority w:val="59"/>
    <w:pPr>
      <w:overflowPunct w:val="0"/>
      <w:autoSpaceDE w:val="0"/>
      <w:autoSpaceDN w:val="0"/>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53">
    <w:name w:val="Plain Table 1"/>
    <w:basedOn w:val="27"/>
    <w:qFormat/>
    <w:uiPriority w:val="59"/>
    <w:pPr>
      <w:overflowPunct w:val="0"/>
      <w:autoSpaceDE w:val="0"/>
      <w:autoSpaceDN w:val="0"/>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auto" w:fill="F1F1F1" w:themeFill="text1" w:themeFillTint="0D"/>
      </w:tcPr>
    </w:tblStylePr>
    <w:tblStylePr w:type="band1Horz">
      <w:tcPr>
        <w:shd w:val="clear" w:color="auto" w:fill="F1F1F1" w:themeFill="text1" w:themeFillTint="0D"/>
      </w:tcPr>
    </w:tblStylePr>
  </w:style>
  <w:style w:type="table" w:customStyle="1" w:styleId="54">
    <w:name w:val="Plain Table 2"/>
    <w:basedOn w:val="27"/>
    <w:qFormat/>
    <w:uiPriority w:val="59"/>
    <w:pPr>
      <w:overflowPunct w:val="0"/>
      <w:autoSpaceDE w:val="0"/>
      <w:autoSpaceDN w:val="0"/>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style>
  <w:style w:type="table" w:customStyle="1" w:styleId="55">
    <w:name w:val="Plain Table 3"/>
    <w:basedOn w:val="27"/>
    <w:qFormat/>
    <w:uiPriority w:val="99"/>
    <w:pPr>
      <w:overflowPunct w:val="0"/>
      <w:autoSpaceDE w:val="0"/>
      <w:autoSpaceDN w:val="0"/>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56">
    <w:name w:val="Plain Table 4"/>
    <w:basedOn w:val="27"/>
    <w:qFormat/>
    <w:uiPriority w:val="99"/>
    <w:pPr>
      <w:overflowPunct w:val="0"/>
      <w:autoSpaceDE w:val="0"/>
      <w:autoSpaceDN w:val="0"/>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57">
    <w:name w:val="Plain Table 5"/>
    <w:basedOn w:val="27"/>
    <w:qFormat/>
    <w:uiPriority w:val="99"/>
    <w:pPr>
      <w:overflowPunct w:val="0"/>
      <w:autoSpaceDE w:val="0"/>
      <w:autoSpaceDN w:val="0"/>
      <w:spacing w:after="0" w:line="240" w:lineRule="auto"/>
    </w:pPr>
    <w:tblStylePr w:type="firstRow">
      <w:rPr>
        <w:i/>
        <w:color w:val="404040"/>
      </w:rPr>
      <w:tcPr>
        <w:tcBorders>
          <w:left w:val="nil"/>
          <w:bottom w:val="single" w:color="404040" w:sz="4" w:space="0"/>
          <w:right w:val="nil"/>
        </w:tcBorders>
        <w:shd w:val="clear" w:color="auto" w:fill="FFFFFF"/>
      </w:tcPr>
    </w:tblStylePr>
    <w:tblStylePr w:type="lastRow">
      <w:rPr>
        <w:i/>
        <w:color w:val="404040"/>
      </w:rPr>
      <w:tcPr>
        <w:tcBorders>
          <w:top w:val="single" w:color="404040" w:sz="4" w:space="0"/>
          <w:left w:val="nil"/>
          <w:right w:val="nil"/>
        </w:tcBorders>
        <w:shd w:val="clear" w:color="auto" w:fill="FFFFFF"/>
      </w:tcPr>
    </w:tblStylePr>
    <w:tblStylePr w:type="firstCol">
      <w:pPr>
        <w:overflowPunct w:val="0"/>
        <w:autoSpaceDE w:val="0"/>
        <w:autoSpaceDN w:val="0"/>
        <w:jc w:val="right"/>
      </w:pPr>
      <w:rPr>
        <w:i/>
        <w:color w:val="404040"/>
      </w:rPr>
      <w:tcPr>
        <w:tcBorders>
          <w:right w:val="single" w:color="404040" w:sz="4" w:space="0"/>
        </w:tcBorders>
        <w:shd w:val="clear" w:color="auto" w:fill="FFFFFF"/>
      </w:tcPr>
    </w:tblStylePr>
    <w:tblStylePr w:type="lastCol">
      <w:rPr>
        <w:i/>
        <w:color w:val="404040"/>
      </w:rPr>
      <w:tcPr>
        <w:tcBorders>
          <w:left w:val="single" w:color="404040" w:sz="4" w:space="0"/>
        </w:tcBorders>
        <w:shd w:val="clear" w:color="auto" w:fill="FFFFFF"/>
      </w:tc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58">
    <w:name w:val="Grid Table 1 Light"/>
    <w:basedOn w:val="27"/>
    <w:qFormat/>
    <w:uiPriority w:val="99"/>
    <w:pPr>
      <w:overflowPunct w:val="0"/>
      <w:autoSpaceDE w:val="0"/>
      <w:autoSpaceDN w:val="0"/>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59">
    <w:name w:val="Grid Table 1 Light - Accent 1"/>
    <w:basedOn w:val="27"/>
    <w:qFormat/>
    <w:uiPriority w:val="99"/>
    <w:pPr>
      <w:overflowPunct w:val="0"/>
      <w:autoSpaceDE w:val="0"/>
      <w:autoSpaceDN w:val="0"/>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60">
    <w:name w:val="Grid Table 1 Light - Accent 2"/>
    <w:basedOn w:val="27"/>
    <w:qFormat/>
    <w:uiPriority w:val="99"/>
    <w:pPr>
      <w:overflowPunct w:val="0"/>
      <w:autoSpaceDE w:val="0"/>
      <w:autoSpaceDN w:val="0"/>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61">
    <w:name w:val="Grid Table 1 Light - Accent 3"/>
    <w:basedOn w:val="27"/>
    <w:qFormat/>
    <w:uiPriority w:val="99"/>
    <w:pPr>
      <w:overflowPunct w:val="0"/>
      <w:autoSpaceDE w:val="0"/>
      <w:autoSpaceDN w:val="0"/>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62">
    <w:name w:val="Grid Table 1 Light - Accent 4"/>
    <w:basedOn w:val="27"/>
    <w:qFormat/>
    <w:uiPriority w:val="99"/>
    <w:pPr>
      <w:overflowPunct w:val="0"/>
      <w:autoSpaceDE w:val="0"/>
      <w:autoSpaceDN w:val="0"/>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63">
    <w:name w:val="Grid Table 1 Light - Accent 5"/>
    <w:basedOn w:val="27"/>
    <w:qFormat/>
    <w:uiPriority w:val="99"/>
    <w:pPr>
      <w:overflowPunct w:val="0"/>
      <w:autoSpaceDE w:val="0"/>
      <w:autoSpaceDN w:val="0"/>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64">
    <w:name w:val="Grid Table 1 Light - Accent 6"/>
    <w:basedOn w:val="27"/>
    <w:qFormat/>
    <w:uiPriority w:val="99"/>
    <w:pPr>
      <w:overflowPunct w:val="0"/>
      <w:autoSpaceDE w:val="0"/>
      <w:autoSpaceDN w:val="0"/>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65">
    <w:name w:val="Grid Table 2"/>
    <w:basedOn w:val="27"/>
    <w:qFormat/>
    <w:uiPriority w:val="99"/>
    <w:pPr>
      <w:overflowPunct w:val="0"/>
      <w:autoSpaceDE w:val="0"/>
      <w:autoSpaceDN w:val="0"/>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auto" w:fill="FFFFFF"/>
      </w:tcPr>
    </w:tblStylePr>
    <w:tblStylePr w:type="lastRow">
      <w:rPr>
        <w:b/>
        <w:color w:val="404040"/>
      </w:rPr>
      <w:tcPr>
        <w:tcBorders>
          <w:top w:val="single" w:color="696969" w:themeColor="text1" w:themeTint="95"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66">
    <w:name w:val="Grid Table 2 - Accent 1"/>
    <w:basedOn w:val="27"/>
    <w:qFormat/>
    <w:uiPriority w:val="99"/>
    <w:pPr>
      <w:overflowPunct w:val="0"/>
      <w:autoSpaceDE w:val="0"/>
      <w:autoSpaceDN w:val="0"/>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auto" w:fill="FFFFFF"/>
      </w:tcPr>
    </w:tblStylePr>
    <w:tblStylePr w:type="lastRow">
      <w:rPr>
        <w:b/>
        <w:color w:val="404040"/>
      </w:rPr>
      <w:tcPr>
        <w:tcBorders>
          <w:top w:val="single" w:color="5D8BC2" w:themeColor="accent1" w:themeTint="EA"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BE5F1" w:themeFill="accent1" w:themeFillTint="34"/>
      </w:tcPr>
    </w:tblStylePr>
    <w:tblStylePr w:type="band1Horz">
      <w:rPr>
        <w:rFonts w:ascii="Arial" w:hAnsi="Arial"/>
        <w:color w:val="404040"/>
        <w:sz w:val="22"/>
      </w:rPr>
      <w:tcPr>
        <w:shd w:val="clear" w:color="auto" w:fill="DBE5F1" w:themeFill="accent1" w:themeFillTint="34"/>
      </w:tcPr>
    </w:tblStylePr>
    <w:tblStylePr w:type="neCell"/>
    <w:tblStylePr w:type="nwCell"/>
    <w:tblStylePr w:type="seCell"/>
    <w:tblStylePr w:type="swCell"/>
  </w:style>
  <w:style w:type="table" w:customStyle="1" w:styleId="67">
    <w:name w:val="Grid Table 2 - Accent 2"/>
    <w:basedOn w:val="27"/>
    <w:qFormat/>
    <w:uiPriority w:val="99"/>
    <w:pPr>
      <w:overflowPunct w:val="0"/>
      <w:autoSpaceDE w:val="0"/>
      <w:autoSpaceDN w:val="0"/>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auto" w:fill="FFFFFF"/>
      </w:tcPr>
    </w:tblStylePr>
    <w:tblStylePr w:type="lastRow">
      <w:rPr>
        <w:b/>
        <w:color w:val="404040"/>
      </w:rPr>
      <w:tcPr>
        <w:tcBorders>
          <w:top w:val="single" w:color="D99795" w:themeColor="accent2" w:themeTint="97"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68">
    <w:name w:val="Grid Table 2 - Accent 3"/>
    <w:basedOn w:val="27"/>
    <w:qFormat/>
    <w:uiPriority w:val="99"/>
    <w:pPr>
      <w:overflowPunct w:val="0"/>
      <w:autoSpaceDE w:val="0"/>
      <w:autoSpaceDN w:val="0"/>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auto" w:fill="FFFFFF"/>
      </w:tcPr>
    </w:tblStylePr>
    <w:tblStylePr w:type="lastRow">
      <w:rPr>
        <w:b/>
        <w:color w:val="404040"/>
      </w:rPr>
      <w:tcPr>
        <w:tcBorders>
          <w:top w:val="single" w:color="9BBB59" w:themeColor="accent3" w:themeTint="FE"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69">
    <w:name w:val="Grid Table 2 - Accent 4"/>
    <w:basedOn w:val="27"/>
    <w:qFormat/>
    <w:uiPriority w:val="99"/>
    <w:pPr>
      <w:overflowPunct w:val="0"/>
      <w:autoSpaceDE w:val="0"/>
      <w:autoSpaceDN w:val="0"/>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auto" w:fill="FFFFFF"/>
      </w:tcPr>
    </w:tblStylePr>
    <w:tblStylePr w:type="lastRow">
      <w:rPr>
        <w:b/>
        <w:color w:val="404040"/>
      </w:rPr>
      <w:tcPr>
        <w:tcBorders>
          <w:top w:val="single" w:color="B2A1C6" w:themeColor="accent4" w:themeTint="9A"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70">
    <w:name w:val="Grid Table 2 - Accent 5"/>
    <w:basedOn w:val="27"/>
    <w:qFormat/>
    <w:uiPriority w:val="99"/>
    <w:pPr>
      <w:overflowPunct w:val="0"/>
      <w:autoSpaceDE w:val="0"/>
      <w:autoSpaceDN w:val="0"/>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auto" w:fill="FFFFFF"/>
      </w:tcPr>
    </w:tblStylePr>
    <w:tblStylePr w:type="lastRow">
      <w:rPr>
        <w:b/>
        <w:color w:val="404040"/>
      </w:rPr>
      <w:tcPr>
        <w:tcBorders>
          <w:top w:val="single" w:color="4BACC6" w:themeColor="accent5"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71">
    <w:name w:val="Grid Table 2 - Accent 6"/>
    <w:basedOn w:val="27"/>
    <w:qFormat/>
    <w:uiPriority w:val="99"/>
    <w:pPr>
      <w:overflowPunct w:val="0"/>
      <w:autoSpaceDE w:val="0"/>
      <w:autoSpaceDN w:val="0"/>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auto" w:fill="FFFFFF"/>
      </w:tcPr>
    </w:tblStylePr>
    <w:tblStylePr w:type="lastRow">
      <w:rPr>
        <w:b/>
        <w:color w:val="404040"/>
      </w:rPr>
      <w:tcPr>
        <w:tcBorders>
          <w:top w:val="single" w:color="F79646" w:themeColor="accent6"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72">
    <w:name w:val="Grid Table 3"/>
    <w:basedOn w:val="27"/>
    <w:qFormat/>
    <w:uiPriority w:val="99"/>
    <w:pPr>
      <w:overflowPunct w:val="0"/>
      <w:autoSpaceDE w:val="0"/>
      <w:autoSpaceDN w:val="0"/>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73">
    <w:name w:val="Grid Table 3 - Accent 1"/>
    <w:basedOn w:val="27"/>
    <w:qFormat/>
    <w:uiPriority w:val="99"/>
    <w:pPr>
      <w:overflowPunct w:val="0"/>
      <w:autoSpaceDE w:val="0"/>
      <w:autoSpaceDN w:val="0"/>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DBE5F1" w:themeFill="accent1" w:themeFillTint="34"/>
      </w:tcPr>
    </w:tblStylePr>
    <w:tblStylePr w:type="band1Horz">
      <w:rPr>
        <w:rFonts w:ascii="Arial" w:hAnsi="Arial"/>
        <w:color w:val="404040"/>
        <w:sz w:val="22"/>
      </w:rPr>
      <w:tcPr>
        <w:shd w:val="clear" w:color="auto" w:fill="DBE5F1" w:themeFill="accent1" w:themeFillTint="34"/>
      </w:tcPr>
    </w:tblStylePr>
    <w:tblStylePr w:type="neCell"/>
    <w:tblStylePr w:type="nwCell"/>
    <w:tblStylePr w:type="seCell"/>
    <w:tblStylePr w:type="swCell"/>
  </w:style>
  <w:style w:type="table" w:customStyle="1" w:styleId="74">
    <w:name w:val="Grid Table 3 - Accent 2"/>
    <w:basedOn w:val="27"/>
    <w:qFormat/>
    <w:uiPriority w:val="99"/>
    <w:pPr>
      <w:overflowPunct w:val="0"/>
      <w:autoSpaceDE w:val="0"/>
      <w:autoSpaceDN w:val="0"/>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75">
    <w:name w:val="Grid Table 3 - Accent 3"/>
    <w:basedOn w:val="27"/>
    <w:qFormat/>
    <w:uiPriority w:val="99"/>
    <w:pPr>
      <w:overflowPunct w:val="0"/>
      <w:autoSpaceDE w:val="0"/>
      <w:autoSpaceDN w:val="0"/>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76">
    <w:name w:val="Grid Table 3 - Accent 4"/>
    <w:basedOn w:val="27"/>
    <w:qFormat/>
    <w:uiPriority w:val="99"/>
    <w:pPr>
      <w:overflowPunct w:val="0"/>
      <w:autoSpaceDE w:val="0"/>
      <w:autoSpaceDN w:val="0"/>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77">
    <w:name w:val="Grid Table 3 - Accent 5"/>
    <w:basedOn w:val="27"/>
    <w:qFormat/>
    <w:uiPriority w:val="99"/>
    <w:pPr>
      <w:overflowPunct w:val="0"/>
      <w:autoSpaceDE w:val="0"/>
      <w:autoSpaceDN w:val="0"/>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78">
    <w:name w:val="Grid Table 3 - Accent 6"/>
    <w:basedOn w:val="27"/>
    <w:qFormat/>
    <w:uiPriority w:val="99"/>
    <w:pPr>
      <w:overflowPunct w:val="0"/>
      <w:autoSpaceDE w:val="0"/>
      <w:autoSpaceDN w:val="0"/>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character" w:customStyle="1" w:styleId="79">
    <w:name w:val="Footnote Text Char"/>
    <w:link w:val="22"/>
    <w:qFormat/>
    <w:uiPriority w:val="99"/>
    <w:rPr>
      <w:sz w:val="18"/>
    </w:rPr>
  </w:style>
  <w:style w:type="paragraph" w:customStyle="1" w:styleId="80">
    <w:name w:val="TOC Heading"/>
    <w:unhideWhenUsed/>
    <w:qFormat/>
    <w:uiPriority w:val="39"/>
    <w:pPr>
      <w:pBdr>
        <w:top w:val="none" w:color="000000" w:sz="0" w:space="0"/>
        <w:left w:val="none" w:color="000000" w:sz="0" w:space="0"/>
        <w:bottom w:val="none" w:color="000000" w:sz="0" w:space="0"/>
        <w:right w:val="none" w:color="000000" w:sz="0" w:space="0"/>
        <w:between w:val="none" w:color="000000" w:sz="0" w:space="0"/>
      </w:pBdr>
      <w:overflowPunct w:val="0"/>
      <w:autoSpaceDE w:val="0"/>
      <w:autoSpaceDN w:val="0"/>
      <w:spacing w:before="0" w:beforeAutospacing="0" w:after="0" w:afterAutospacing="0" w:line="240" w:lineRule="auto"/>
      <w:ind w:left="0" w:right="0" w:firstLine="0"/>
      <w:jc w:val="left"/>
    </w:pPr>
    <w:rPr>
      <w:rFonts w:hint="default" w:ascii="Times New Roman" w:hAnsi="Times New Roman" w:eastAsia="宋体" w:cs="Times New Roman"/>
      <w:color w:val="auto"/>
      <w:spacing w:val="0"/>
      <w:position w:val="0"/>
      <w:sz w:val="21"/>
      <w:szCs w:val="22"/>
      <w:lang w:val="en-US" w:eastAsia="en-US" w:bidi="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fd0f0bc3-cfd8-4a9c-b87b-d9d7d9cf65e3</errorID>
      <errorWord>(</errorWord>
      <group>L1_Format</group>
      <groupName>格式问题</groupName>
      <ability>L2_HalfPunc</ability>
      <abilityName>全半角检查</abilityName>
      <candidateList>
        <item>（</item>
      </candidateList>
      <explain>文本全半角错误。</explain>
      <paraID>78AF0EE3</paraID>
      <start>78</start>
      <end>79</end>
      <status>modified</status>
      <modifiedWord>（</modifiedWord>
      <trackRevisions>true</trackRevisions>
    </reviewItem>
    <reviewItem>
      <errorID>b2b3d587-62d1-4bb6-8644-9b96199567cc</errorID>
      <errorWord>)</errorWord>
      <group>L1_Format</group>
      <groupName>格式问题</groupName>
      <ability>L2_HalfPunc</ability>
      <abilityName>全半角检查</abilityName>
      <candidateList>
        <item>）</item>
      </candidateList>
      <explain>文本全半角错误。</explain>
      <paraID>78AF0EE3</paraID>
      <start>87</start>
      <end>88</end>
      <status>modified</status>
      <modifiedWord>）</modifiedWord>
      <trackRevisions>true</trackRevisions>
    </reviewItem>
    <reviewItem>
      <errorID>d23c9a4d-f6b4-4e28-bbe1-85ecef76d577</errorID>
      <errorWord>害</errorWord>
      <group>L1_Word</group>
      <groupName>字词问题</groupName>
      <ability>L2_Typo</ability>
      <abilityName>字词错误</abilityName>
      <candidateList>
        <item>害保</item>
      </candidateList>
      <explain/>
      <paraID>75862CF3</paraID>
      <start>49</start>
      <end>50</end>
      <status>ignored</status>
      <modifiedWord/>
      <trackRevisions>false</trackRevisions>
    </reviewItem>
    <reviewItem>
      <errorID>a30150d2-93ae-45fb-94fc-47bcb6751fa7</errorID>
      <errorWord>规</errorWord>
      <group>L1_Word</group>
      <groupName>字词问题</groupName>
      <ability>L2_Typo</ability>
      <abilityName>字词错误</abilityName>
      <candidateList>
        <item>规和</item>
      </candidateList>
      <explain/>
      <paraID>6B1A94FF</paraID>
      <start>52</start>
      <end>54</end>
      <status>modified</status>
      <modifiedWord>规和</modifiedWord>
      <trackRevisions>true</trackRevisions>
    </reviewItem>
    <reviewItem>
      <errorID>5f817446-c80f-49b9-9c2a-ea14004d2439</errorID>
      <errorWord>(</errorWord>
      <group>L1_Format</group>
      <groupName>格式问题</groupName>
      <ability>L2_HalfPunc</ability>
      <abilityName>全半角检查</abilityName>
      <candidateList>
        <item>（</item>
      </candidateList>
      <explain>文本全半角错误。</explain>
      <paraID>406A6ABC</paraID>
      <start>13</start>
      <end>14</end>
      <status>modified</status>
      <modifiedWord>（</modifiedWord>
      <trackRevisions>true</trackRevisions>
    </reviewItem>
    <reviewItem>
      <errorID>69bcae53-961c-4c11-b534-33f9d9f00564</errorID>
      <errorWord>)</errorWord>
      <group>L1_Format</group>
      <groupName>格式问题</groupName>
      <ability>L2_HalfPunc</ability>
      <abilityName>全半角检查</abilityName>
      <candidateList>
        <item>）</item>
      </candidateList>
      <explain>文本全半角错误。</explain>
      <paraID>406A6ABC</paraID>
      <start>22</start>
      <end>23</end>
      <status>modified</status>
      <modifiedWord>）</modifiedWord>
      <trackRevisions>true</trackRevisions>
    </reviewItem>
    <reviewItem>
      <errorID>ac628c36-52c7-46b0-b9d5-54b7dcecde92</errorID>
      <errorWord>（</errorWord>
      <group>L1_Punc</group>
      <groupName>标点问题</groupName>
      <ability>L2_Punc</ability>
      <abilityName>标点符号检查</abilityName>
      <candidateList/>
      <explain>同一形式括号套用。</explain>
      <paraID>4BC44A30</paraID>
      <start>21</start>
      <end>22</end>
      <status>unmodified</status>
      <modifiedWord/>
      <trackRevisions>false</trackRevisions>
    </reviewItem>
    <reviewItem>
      <errorID>35d85154-e3bf-4ade-a416-688928705b11</errorID>
      <errorWord>）</errorWord>
      <group>L1_Punc</group>
      <groupName>标点问题</groupName>
      <ability>L2_Punc</ability>
      <abilityName>标点符号检查</abilityName>
      <candidateList/>
      <explain>同一形式括号套用。</explain>
      <paraID>4BC44A30</paraID>
      <start>24</start>
      <end>25</end>
      <status>unmodified</status>
      <modifiedWord/>
      <trackRevisions>false</trackRevisions>
    </reviewItem>
    <reviewItem>
      <errorID>f95655aa-f986-44c4-b52c-e3fb40a4f0cd</errorID>
      <errorWord>其它</errorWord>
      <group>L1_Word</group>
      <groupName>字词问题</groupName>
      <ability>L2_Alias</ability>
      <abilityName>也作/曾用词</abilityName>
      <candidateList>
        <item>其他</item>
      </candidateList>
      <explain>词汇[其它]为不规范表述或旧称，其规范书面表述为[其他]。</explain>
      <paraID>595DCBF3</paraID>
      <start>2</start>
      <end>4</end>
      <status>modified</status>
      <modifiedWord>其他</modifiedWord>
      <trackRevisions>true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d44253a-a7d5-4e81-a93e-d8199858d4d6}">
  <ds:schemaRefs/>
</ds:datastoreItem>
</file>

<file path=docProps/app.xml><?xml version="1.0" encoding="utf-8"?>
<Properties xmlns="http://schemas.openxmlformats.org/officeDocument/2006/extended-properties" xmlns:vt="http://schemas.openxmlformats.org/officeDocument/2006/docPropsVTypes">
  <Template>Normal.dotm</Template>
  <Pages>7</Pages>
  <Words>4008</Words>
  <Characters>4023</Characters>
  <TotalTime>4</TotalTime>
  <ScaleCrop>false</ScaleCrop>
  <LinksUpToDate>false</LinksUpToDate>
  <CharactersWithSpaces>4074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2024-03-21T00:56:00Z</dcterms:created>
  <dc:creator>XYT</dc:creator>
  <cp:lastModifiedBy>郑穗智</cp:lastModifiedBy>
  <dcterms:modified xsi:type="dcterms:W3CDTF">2026-04-17T02:49:45Z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eyJoZGlkIjoiNDkzNjhhMDk1NGU3NTBjYTU0NDkwYTY2NjUzZjE1NTgiLCJ1c2VySWQiOiIyNjE4MzA2MzQifQ==</vt:lpwstr>
  </property>
  <property fmtid="{D5CDD505-2E9C-101B-9397-08002B2CF9AE}" pid="3" name="KSOProductBuildVer">
    <vt:lpwstr>2052-12.1.0.25225</vt:lpwstr>
  </property>
  <property fmtid="{D5CDD505-2E9C-101B-9397-08002B2CF9AE}" pid="4" name="ICV">
    <vt:lpwstr>6FBAD9CC17654A79A66F8C1B8A15A187_13</vt:lpwstr>
  </property>
</Properties>
</file>