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BF9B4">
      <w:pPr>
        <w:spacing w:before="97" w:line="222" w:lineRule="auto"/>
        <w:jc w:val="center"/>
        <w:outlineLvl w:val="0"/>
        <w:rPr>
          <w:rFonts w:ascii="宋体" w:hAnsi="宋体" w:cs="宋体"/>
          <w:b/>
          <w:bCs/>
          <w:spacing w:val="-12"/>
          <w:sz w:val="43"/>
          <w:szCs w:val="43"/>
        </w:rPr>
      </w:pPr>
      <w:r>
        <w:rPr>
          <w:rFonts w:ascii="宋体" w:hAnsi="宋体" w:cs="宋体"/>
          <w:b/>
          <w:bCs/>
          <w:spacing w:val="-12"/>
          <w:sz w:val="43"/>
          <w:szCs w:val="43"/>
        </w:rPr>
        <w:t>租</w:t>
      </w:r>
      <w:r>
        <w:rPr>
          <w:rFonts w:ascii="宋体" w:hAnsi="宋体" w:cs="宋体"/>
          <w:spacing w:val="28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金</w:t>
      </w:r>
      <w:r>
        <w:rPr>
          <w:rFonts w:ascii="宋体" w:hAnsi="宋体" w:cs="宋体"/>
          <w:spacing w:val="22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报</w:t>
      </w:r>
      <w:r>
        <w:rPr>
          <w:rFonts w:ascii="宋体" w:hAnsi="宋体" w:cs="宋体"/>
          <w:spacing w:val="27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价</w:t>
      </w:r>
      <w:r>
        <w:rPr>
          <w:rFonts w:ascii="宋体" w:hAnsi="宋体" w:cs="宋体"/>
          <w:spacing w:val="34"/>
          <w:sz w:val="43"/>
          <w:szCs w:val="43"/>
        </w:rPr>
        <w:t xml:space="preserve"> </w:t>
      </w:r>
      <w:r>
        <w:rPr>
          <w:rFonts w:ascii="宋体" w:hAnsi="宋体" w:cs="宋体"/>
          <w:b/>
          <w:bCs/>
          <w:spacing w:val="-12"/>
          <w:sz w:val="43"/>
          <w:szCs w:val="43"/>
        </w:rPr>
        <w:t>书</w:t>
      </w:r>
    </w:p>
    <w:p w14:paraId="61E34AF3">
      <w:pPr>
        <w:spacing w:before="97" w:line="222" w:lineRule="auto"/>
        <w:jc w:val="center"/>
        <w:outlineLvl w:val="0"/>
        <w:rPr>
          <w:rFonts w:hint="eastAsia" w:ascii="宋体" w:hAnsi="宋体" w:eastAsia="宋体" w:cs="宋体"/>
          <w:b/>
          <w:bCs/>
          <w:spacing w:val="-12"/>
          <w:sz w:val="43"/>
          <w:szCs w:val="43"/>
          <w:lang w:eastAsia="zh-CN"/>
        </w:rPr>
      </w:pPr>
      <w:r>
        <w:rPr>
          <w:rFonts w:hint="eastAsia" w:ascii="宋体" w:hAnsi="宋体" w:cs="宋体"/>
          <w:b/>
          <w:bCs/>
          <w:spacing w:val="-12"/>
          <w:sz w:val="43"/>
          <w:szCs w:val="43"/>
          <w:lang w:eastAsia="zh-CN"/>
        </w:rPr>
        <w:t>（</w:t>
      </w:r>
      <w:r>
        <w:rPr>
          <w:rFonts w:hint="eastAsia" w:ascii="宋体" w:hAnsi="宋体" w:cs="宋体"/>
          <w:b/>
          <w:bCs/>
          <w:spacing w:val="-12"/>
          <w:sz w:val="43"/>
          <w:szCs w:val="43"/>
          <w:lang w:val="en-US" w:eastAsia="zh-CN"/>
        </w:rPr>
        <w:t>优先权版</w:t>
      </w:r>
      <w:r>
        <w:rPr>
          <w:rFonts w:hint="eastAsia" w:ascii="宋体" w:hAnsi="宋体" w:cs="宋体"/>
          <w:b/>
          <w:bCs/>
          <w:spacing w:val="-12"/>
          <w:sz w:val="43"/>
          <w:szCs w:val="43"/>
          <w:lang w:eastAsia="zh-CN"/>
        </w:rPr>
        <w:t>）</w:t>
      </w:r>
    </w:p>
    <w:p w14:paraId="2EA76F9F">
      <w:pPr>
        <w:pStyle w:val="11"/>
        <w:spacing w:before="52" w:line="219" w:lineRule="auto"/>
        <w:ind w:left="32"/>
        <w:rPr>
          <w:rFonts w:hint="eastAsia"/>
        </w:rPr>
      </w:pPr>
      <w:r>
        <w:rPr>
          <w:spacing w:val="-6"/>
        </w:rPr>
        <w:t>广州产权交易所有限公司：</w:t>
      </w:r>
    </w:p>
    <w:p w14:paraId="3FEA6189">
      <w:pPr>
        <w:pStyle w:val="11"/>
        <w:spacing w:before="64" w:line="500" w:lineRule="exact"/>
        <w:ind w:left="33" w:right="7" w:firstLine="526"/>
        <w:rPr>
          <w:rFonts w:hint="default" w:eastAsia="仿宋"/>
          <w:spacing w:val="-4"/>
          <w:lang w:val="en-US" w:eastAsia="zh-CN"/>
        </w:rPr>
      </w:pPr>
      <w:r>
        <w:rPr>
          <w:spacing w:val="-5"/>
        </w:rPr>
        <w:t>本意向方根据</w:t>
      </w:r>
      <w:r>
        <w:rPr>
          <w:spacing w:val="47"/>
        </w:rPr>
        <w:t xml:space="preserve"> </w:t>
      </w:r>
      <w:r>
        <w:rPr>
          <w:rFonts w:hint="eastAsia"/>
          <w:spacing w:val="-5"/>
          <w:u w:val="single"/>
        </w:rPr>
        <w:t>整体出租广东省广州市花都区花山镇两龙狗眠岭花山旧所办公楼等5处建筑物及广东省广州市花都区红珠路14号仓库地块</w:t>
      </w:r>
      <w:r>
        <w:rPr>
          <w:spacing w:val="-3"/>
        </w:rPr>
        <w:t>（交易编号</w:t>
      </w:r>
      <w:r>
        <w:t>：</w:t>
      </w:r>
      <w:r>
        <w:rPr>
          <w:spacing w:val="-106"/>
        </w:rPr>
        <w:t xml:space="preserve"> </w:t>
      </w:r>
      <w:r>
        <w:rPr>
          <w:spacing w:val="2"/>
          <w:u w:val="single"/>
        </w:rPr>
        <w:t xml:space="preserve">                    </w:t>
      </w:r>
      <w:r>
        <w:rPr>
          <w:spacing w:val="6"/>
        </w:rPr>
        <w:t xml:space="preserve"> </w:t>
      </w:r>
      <w:r>
        <w:t>）</w:t>
      </w:r>
      <w:r>
        <w:rPr>
          <w:spacing w:val="-3"/>
        </w:rPr>
        <w:t>项目公告、公告相关附件</w:t>
      </w:r>
      <w:r>
        <w:t xml:space="preserve"> </w:t>
      </w:r>
      <w:r>
        <w:rPr>
          <w:spacing w:val="-4"/>
        </w:rPr>
        <w:t>的各项交易条件及相关要求，在完全响应出租方提出的交易条件基础上，同意</w:t>
      </w:r>
      <w:r>
        <w:rPr>
          <w:rFonts w:hint="eastAsia"/>
          <w:spacing w:val="-4"/>
        </w:rPr>
        <w:t>以</w:t>
      </w:r>
      <w:r>
        <w:rPr>
          <w:rFonts w:hint="eastAsia"/>
          <w:spacing w:val="-4"/>
          <w:lang w:val="en-US" w:eastAsia="zh-CN"/>
        </w:rPr>
        <w:t>以下其中一种方式行权</w:t>
      </w:r>
      <w:r>
        <w:rPr>
          <w:rFonts w:hint="eastAsia"/>
          <w:spacing w:val="-4"/>
        </w:rPr>
        <w:t>，</w:t>
      </w:r>
      <w:r>
        <w:rPr>
          <w:spacing w:val="-4"/>
        </w:rPr>
        <w:t>承租交易标的</w:t>
      </w:r>
      <w:r>
        <w:rPr>
          <w:rFonts w:hint="eastAsia"/>
          <w:spacing w:val="-4"/>
          <w:lang w:val="en-US" w:eastAsia="zh-CN"/>
        </w:rPr>
        <w:t>：</w:t>
      </w:r>
    </w:p>
    <w:p w14:paraId="4ECA7490">
      <w:pPr>
        <w:pStyle w:val="11"/>
        <w:spacing w:before="64" w:line="500" w:lineRule="exact"/>
        <w:ind w:left="33" w:right="7" w:firstLine="526"/>
        <w:rPr>
          <w:rFonts w:hint="eastAsia" w:eastAsia="仿宋"/>
          <w:spacing w:val="-4"/>
          <w:highlight w:val="none"/>
          <w:lang w:eastAsia="zh-CN"/>
        </w:rPr>
      </w:pPr>
      <w:r>
        <w:rPr>
          <w:rFonts w:hint="eastAsia" w:ascii="Times New Roman" w:hAnsi="Times New Roman"/>
          <w:szCs w:val="20"/>
          <w:lang w:eastAsia="zh-CN"/>
        </w:rPr>
        <w:t>□</w:t>
      </w:r>
      <w:r>
        <w:rPr>
          <w:rFonts w:hint="eastAsia"/>
          <w:spacing w:val="-4"/>
          <w:lang w:val="en-US" w:eastAsia="zh-CN"/>
        </w:rPr>
        <w:t>项目意向方进行了有效报价时，以不低</w:t>
      </w:r>
      <w:r>
        <w:rPr>
          <w:rFonts w:hint="eastAsia"/>
          <w:spacing w:val="-4"/>
          <w:highlight w:val="none"/>
          <w:lang w:val="en-US" w:eastAsia="zh-CN"/>
        </w:rPr>
        <w:t>于</w:t>
      </w:r>
      <w:r>
        <w:rPr>
          <w:rFonts w:hint="eastAsia"/>
          <w:spacing w:val="-4"/>
          <w:highlight w:val="none"/>
        </w:rPr>
        <w:t>本标的</w:t>
      </w:r>
      <w:r>
        <w:rPr>
          <w:rFonts w:hint="eastAsia"/>
          <w:spacing w:val="-4"/>
          <w:highlight w:val="none"/>
          <w:lang w:val="en-US" w:eastAsia="zh-CN"/>
        </w:rPr>
        <w:t>最高报价人的</w:t>
      </w:r>
      <w:r>
        <w:rPr>
          <w:rFonts w:hint="eastAsia"/>
          <w:spacing w:val="-4"/>
          <w:highlight w:val="none"/>
        </w:rPr>
        <w:t>报价行使优先权</w:t>
      </w:r>
      <w:r>
        <w:rPr>
          <w:rFonts w:hint="eastAsia"/>
          <w:spacing w:val="-4"/>
          <w:highlight w:val="none"/>
          <w:lang w:eastAsia="zh-CN"/>
        </w:rPr>
        <w:t>；</w:t>
      </w:r>
    </w:p>
    <w:p w14:paraId="5B8BEA9A">
      <w:pPr>
        <w:pStyle w:val="11"/>
        <w:spacing w:before="64" w:line="500" w:lineRule="exact"/>
        <w:ind w:left="33" w:right="7" w:firstLine="526"/>
        <w:rPr>
          <w:rFonts w:hint="eastAsia"/>
          <w:spacing w:val="-4"/>
          <w:highlight w:val="none"/>
        </w:rPr>
      </w:pPr>
      <w:r>
        <w:rPr>
          <w:rFonts w:hint="eastAsia" w:ascii="Times New Roman" w:hAnsi="Times New Roman"/>
          <w:szCs w:val="20"/>
          <w:highlight w:val="none"/>
          <w:lang w:eastAsia="zh-CN"/>
        </w:rPr>
        <w:t>□</w:t>
      </w:r>
      <w:r>
        <w:rPr>
          <w:rFonts w:hint="eastAsia" w:ascii="Times New Roman" w:hAnsi="Times New Roman"/>
          <w:szCs w:val="20"/>
          <w:highlight w:val="none"/>
          <w:lang w:val="en-US" w:eastAsia="zh-CN"/>
        </w:rPr>
        <w:t>项目意向方未进行有效报价时，</w:t>
      </w:r>
      <w:r>
        <w:rPr>
          <w:rFonts w:hint="eastAsia"/>
          <w:spacing w:val="-4"/>
          <w:highlight w:val="none"/>
          <w:lang w:val="en-US" w:eastAsia="zh-CN"/>
        </w:rPr>
        <w:t>以不低于挂牌价的报价</w:t>
      </w:r>
      <w:r>
        <w:rPr>
          <w:rFonts w:hint="eastAsia"/>
          <w:spacing w:val="-4"/>
          <w:highlight w:val="none"/>
        </w:rPr>
        <w:t>行使优先权。</w:t>
      </w:r>
    </w:p>
    <w:p w14:paraId="75E4A444">
      <w:pPr>
        <w:pStyle w:val="11"/>
        <w:spacing w:before="64" w:line="261" w:lineRule="auto"/>
        <w:ind w:left="33" w:right="7" w:firstLine="526"/>
        <w:rPr>
          <w:rFonts w:hint="eastAsia"/>
          <w:spacing w:val="-4"/>
        </w:rPr>
      </w:pPr>
      <w:r>
        <w:rPr>
          <w:rFonts w:hint="eastAsia"/>
          <w:spacing w:val="-4"/>
        </w:rPr>
        <w:t>1.</w:t>
      </w:r>
      <w:r>
        <w:rPr>
          <w:rFonts w:hint="eastAsia"/>
          <w:spacing w:val="-4"/>
        </w:rPr>
        <w:tab/>
      </w:r>
      <w:r>
        <w:rPr>
          <w:rFonts w:hint="eastAsia"/>
          <w:spacing w:val="-4"/>
        </w:rPr>
        <w:t>本意向方对出租标的包含的6个子标的的首年首月总租金的报价为人民币（不得低于挂牌价格，否则为无效报价；报价仅保留两位小数，如超过两位小数，则按小数点后两位采用 “四舍五入” 的方式计算）：</w:t>
      </w:r>
    </w:p>
    <w:tbl>
      <w:tblPr>
        <w:tblStyle w:val="16"/>
        <w:tblW w:w="10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3690"/>
        <w:gridCol w:w="1515"/>
        <w:gridCol w:w="2580"/>
        <w:gridCol w:w="2358"/>
      </w:tblGrid>
      <w:tr w14:paraId="177F2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574" w:type="dxa"/>
          </w:tcPr>
          <w:p w14:paraId="5F7EAFB3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3690" w:type="dxa"/>
          </w:tcPr>
          <w:p w14:paraId="1A274E8E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标的名称</w:t>
            </w:r>
          </w:p>
        </w:tc>
        <w:tc>
          <w:tcPr>
            <w:tcW w:w="1515" w:type="dxa"/>
          </w:tcPr>
          <w:p w14:paraId="70FD5FF8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出租期限</w:t>
            </w:r>
          </w:p>
          <w:p w14:paraId="4357AAC0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（年）</w:t>
            </w:r>
          </w:p>
        </w:tc>
        <w:tc>
          <w:tcPr>
            <w:tcW w:w="2580" w:type="dxa"/>
          </w:tcPr>
          <w:p w14:paraId="153E52C2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挂牌价格</w:t>
            </w:r>
          </w:p>
          <w:p w14:paraId="12F98923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（元/月/总租金）</w:t>
            </w:r>
          </w:p>
        </w:tc>
        <w:tc>
          <w:tcPr>
            <w:tcW w:w="2358" w:type="dxa"/>
          </w:tcPr>
          <w:p w14:paraId="0A0EC116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意向方报价</w:t>
            </w:r>
          </w:p>
          <w:p w14:paraId="73121366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30"/>
                <w:szCs w:val="30"/>
              </w:rPr>
              <w:t>（元/月/总租金）</w:t>
            </w:r>
          </w:p>
        </w:tc>
      </w:tr>
      <w:tr w14:paraId="2333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74" w:type="dxa"/>
          </w:tcPr>
          <w:p w14:paraId="04517267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3690" w:type="dxa"/>
            <w:vAlign w:val="center"/>
          </w:tcPr>
          <w:p w14:paraId="439E8148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广东省广州市花都区花山镇两龙狗眠岭花山旧所办公楼</w:t>
            </w:r>
          </w:p>
        </w:tc>
        <w:tc>
          <w:tcPr>
            <w:tcW w:w="1515" w:type="dxa"/>
            <w:vAlign w:val="center"/>
          </w:tcPr>
          <w:p w14:paraId="32D272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80" w:type="dxa"/>
            <w:vAlign w:val="center"/>
          </w:tcPr>
          <w:p w14:paraId="4E8F20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21272</w:t>
            </w:r>
          </w:p>
        </w:tc>
        <w:tc>
          <w:tcPr>
            <w:tcW w:w="2358" w:type="dxa"/>
            <w:vAlign w:val="center"/>
          </w:tcPr>
          <w:p w14:paraId="63E354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DE2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74" w:type="dxa"/>
          </w:tcPr>
          <w:p w14:paraId="79580E82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3690" w:type="dxa"/>
            <w:vAlign w:val="center"/>
          </w:tcPr>
          <w:p w14:paraId="423182AB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广东省广州市花都区狮岭镇芙蓉度假村芙滨路营业厅办公楼</w:t>
            </w:r>
          </w:p>
        </w:tc>
        <w:tc>
          <w:tcPr>
            <w:tcW w:w="1515" w:type="dxa"/>
            <w:vAlign w:val="center"/>
          </w:tcPr>
          <w:p w14:paraId="006EB4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80" w:type="dxa"/>
            <w:vAlign w:val="center"/>
          </w:tcPr>
          <w:p w14:paraId="320635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8855</w:t>
            </w:r>
          </w:p>
        </w:tc>
        <w:tc>
          <w:tcPr>
            <w:tcW w:w="2358" w:type="dxa"/>
            <w:vAlign w:val="center"/>
          </w:tcPr>
          <w:p w14:paraId="33401E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8C9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74" w:type="dxa"/>
          </w:tcPr>
          <w:p w14:paraId="2B19CE29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3</w:t>
            </w:r>
          </w:p>
        </w:tc>
        <w:tc>
          <w:tcPr>
            <w:tcW w:w="3690" w:type="dxa"/>
            <w:vAlign w:val="center"/>
          </w:tcPr>
          <w:p w14:paraId="1806C1A1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广东省广州市花都区花城路54号1-2层</w:t>
            </w:r>
          </w:p>
        </w:tc>
        <w:tc>
          <w:tcPr>
            <w:tcW w:w="1515" w:type="dxa"/>
            <w:vAlign w:val="center"/>
          </w:tcPr>
          <w:p w14:paraId="563F02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80" w:type="dxa"/>
            <w:vAlign w:val="center"/>
          </w:tcPr>
          <w:p w14:paraId="4A60E6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14558</w:t>
            </w:r>
          </w:p>
        </w:tc>
        <w:tc>
          <w:tcPr>
            <w:tcW w:w="2358" w:type="dxa"/>
            <w:vAlign w:val="center"/>
          </w:tcPr>
          <w:p w14:paraId="02725F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DBB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74" w:type="dxa"/>
          </w:tcPr>
          <w:p w14:paraId="55D451E9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4</w:t>
            </w:r>
          </w:p>
        </w:tc>
        <w:tc>
          <w:tcPr>
            <w:tcW w:w="3690" w:type="dxa"/>
            <w:vAlign w:val="center"/>
          </w:tcPr>
          <w:p w14:paraId="4D573E39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广东省广州市花都区商业大道31号一楼</w:t>
            </w:r>
          </w:p>
        </w:tc>
        <w:tc>
          <w:tcPr>
            <w:tcW w:w="1515" w:type="dxa"/>
            <w:vAlign w:val="center"/>
          </w:tcPr>
          <w:p w14:paraId="26FAD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80" w:type="dxa"/>
            <w:vAlign w:val="center"/>
          </w:tcPr>
          <w:p w14:paraId="011944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17717</w:t>
            </w:r>
          </w:p>
        </w:tc>
        <w:tc>
          <w:tcPr>
            <w:tcW w:w="2358" w:type="dxa"/>
            <w:vAlign w:val="center"/>
          </w:tcPr>
          <w:p w14:paraId="416B55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C3C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74" w:type="dxa"/>
          </w:tcPr>
          <w:p w14:paraId="319C4E5D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5</w:t>
            </w:r>
          </w:p>
        </w:tc>
        <w:tc>
          <w:tcPr>
            <w:tcW w:w="3690" w:type="dxa"/>
            <w:vAlign w:val="center"/>
          </w:tcPr>
          <w:p w14:paraId="547703D3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广东省广州市花都区云山路27号一楼</w:t>
            </w:r>
          </w:p>
        </w:tc>
        <w:tc>
          <w:tcPr>
            <w:tcW w:w="1515" w:type="dxa"/>
            <w:vAlign w:val="center"/>
          </w:tcPr>
          <w:p w14:paraId="74DA9E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80" w:type="dxa"/>
            <w:vAlign w:val="center"/>
          </w:tcPr>
          <w:p w14:paraId="020A0C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5864</w:t>
            </w:r>
          </w:p>
        </w:tc>
        <w:tc>
          <w:tcPr>
            <w:tcW w:w="2358" w:type="dxa"/>
            <w:vAlign w:val="center"/>
          </w:tcPr>
          <w:p w14:paraId="567D9E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4DE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74" w:type="dxa"/>
          </w:tcPr>
          <w:p w14:paraId="19F7B0A1">
            <w:pPr>
              <w:widowControl/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</w:rPr>
              <w:t>6</w:t>
            </w:r>
          </w:p>
        </w:tc>
        <w:tc>
          <w:tcPr>
            <w:tcW w:w="3690" w:type="dxa"/>
            <w:vAlign w:val="center"/>
          </w:tcPr>
          <w:p w14:paraId="4E3FBE45"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广东省广州市花都区红珠路14号仓库土地（证载地址为新华镇华南路23号）</w:t>
            </w:r>
          </w:p>
        </w:tc>
        <w:tc>
          <w:tcPr>
            <w:tcW w:w="1515" w:type="dxa"/>
            <w:vAlign w:val="center"/>
          </w:tcPr>
          <w:p w14:paraId="7E7336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80" w:type="dxa"/>
            <w:vAlign w:val="center"/>
          </w:tcPr>
          <w:p w14:paraId="24F455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24270</w:t>
            </w:r>
          </w:p>
        </w:tc>
        <w:tc>
          <w:tcPr>
            <w:tcW w:w="2358" w:type="dxa"/>
            <w:vAlign w:val="center"/>
          </w:tcPr>
          <w:p w14:paraId="4C7238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7B1A51AC">
      <w:pPr>
        <w:pStyle w:val="11"/>
        <w:spacing w:before="64" w:line="261" w:lineRule="auto"/>
        <w:ind w:left="33" w:right="7" w:firstLine="526"/>
        <w:rPr>
          <w:rFonts w:hint="eastAsia"/>
          <w:spacing w:val="-4"/>
        </w:rPr>
      </w:pPr>
      <w:r>
        <w:rPr>
          <w:rFonts w:hint="eastAsia"/>
          <w:spacing w:val="-4"/>
        </w:rPr>
        <w:t>2.</w:t>
      </w:r>
      <w:r>
        <w:rPr>
          <w:rFonts w:hint="eastAsia"/>
          <w:spacing w:val="-4"/>
        </w:rPr>
        <w:tab/>
      </w:r>
      <w:r>
        <w:rPr>
          <w:rFonts w:hint="eastAsia"/>
          <w:spacing w:val="-4"/>
        </w:rPr>
        <w:t>本意向方申请免租期限为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</w:rPr>
        <w:t>个月。（不得高于3个月，否则为无效报价。意向方须按0.5个月的整数倍报价，如意向方报价非0.5的整数倍，则按小数点后一位采用“四舍五入”的方式计算）</w:t>
      </w:r>
    </w:p>
    <w:p w14:paraId="3BBC1FD5">
      <w:pPr>
        <w:pStyle w:val="11"/>
        <w:spacing w:before="64" w:line="261" w:lineRule="auto"/>
        <w:ind w:left="33" w:right="7" w:firstLine="526"/>
        <w:rPr>
          <w:spacing w:val="-4"/>
        </w:rPr>
      </w:pPr>
      <w:r>
        <w:rPr>
          <w:rFonts w:hint="eastAsia"/>
          <w:spacing w:val="-4"/>
        </w:rPr>
        <w:t>3. 本意向方承诺合同期每年月租金在上一期月租金的基础上递增率为    %。（不得低于3%，否则为无效报价。意向方填报的递增率数值仅保留至百分比前一位小数（即精确到 0.1 个百分点）。如填报的递增率数值包含两位小数，则按四舍五入方式取舍至一位小数后作为最终有效报价）</w:t>
      </w:r>
      <w:r>
        <w:rPr>
          <w:spacing w:val="-4"/>
        </w:rPr>
        <w:t xml:space="preserve"> </w:t>
      </w:r>
    </w:p>
    <w:p w14:paraId="3B1DFB08">
      <w:pPr>
        <w:pStyle w:val="11"/>
        <w:spacing w:before="64" w:line="261" w:lineRule="auto"/>
        <w:ind w:left="33" w:right="7" w:firstLine="526"/>
        <w:rPr>
          <w:spacing w:val="-4"/>
        </w:rPr>
      </w:pPr>
      <w:r>
        <w:rPr>
          <w:rFonts w:hint="eastAsia"/>
          <w:spacing w:val="-4"/>
        </w:rPr>
        <w:t>4.是否转租：</w:t>
      </w:r>
      <w:r>
        <w:rPr>
          <w:color w:val="auto"/>
          <w:spacing w:val="6"/>
          <w:u w:val="single"/>
        </w:rPr>
        <w:t xml:space="preserve">    </w:t>
      </w:r>
      <w:r>
        <w:rPr>
          <w:rFonts w:hint="eastAsia"/>
          <w:spacing w:val="-4"/>
        </w:rPr>
        <w:t xml:space="preserve"> 。 （意向方须明确转租情况，如未填写，则为无效报价）</w:t>
      </w:r>
    </w:p>
    <w:p w14:paraId="083434C8">
      <w:pPr>
        <w:pStyle w:val="11"/>
        <w:spacing w:before="77" w:line="257" w:lineRule="auto"/>
        <w:ind w:left="32" w:right="14" w:firstLine="561"/>
        <w:rPr>
          <w:rFonts w:hint="eastAsia"/>
        </w:rPr>
      </w:pPr>
      <w:r>
        <w:rPr>
          <w:spacing w:val="-6"/>
        </w:rPr>
        <w:t>本意向方承诺：一经被贵所确认为成交方，即按项目公告、</w:t>
      </w:r>
      <w:r>
        <w:rPr>
          <w:rFonts w:hint="eastAsia"/>
          <w:spacing w:val="-6"/>
          <w:lang w:val="en-US" w:eastAsia="zh-CN"/>
        </w:rPr>
        <w:t>报价须知</w:t>
      </w:r>
      <w:r>
        <w:rPr>
          <w:spacing w:val="-4"/>
        </w:rPr>
        <w:t>的规定签订成交文件，否则，承担因违约而造成的一</w:t>
      </w:r>
      <w:r>
        <w:rPr>
          <w:spacing w:val="6"/>
        </w:rPr>
        <w:t xml:space="preserve"> </w:t>
      </w:r>
      <w:r>
        <w:rPr>
          <w:spacing w:val="-10"/>
        </w:rPr>
        <w:t>切责任。</w:t>
      </w:r>
    </w:p>
    <w:p w14:paraId="55D98C16">
      <w:pPr>
        <w:pStyle w:val="11"/>
        <w:spacing w:before="43" w:line="221" w:lineRule="auto"/>
        <w:ind w:firstLine="4674" w:firstLineChars="1900"/>
        <w:rPr>
          <w:rFonts w:hint="eastAsia"/>
          <w:spacing w:val="-17"/>
        </w:rPr>
      </w:pPr>
    </w:p>
    <w:p w14:paraId="15E00103">
      <w:pPr>
        <w:pStyle w:val="11"/>
        <w:spacing w:before="64" w:line="261" w:lineRule="auto"/>
        <w:ind w:left="33" w:right="7" w:firstLine="526"/>
        <w:jc w:val="center"/>
        <w:rPr>
          <w:rFonts w:hint="eastAsia"/>
          <w:spacing w:val="-4"/>
        </w:rPr>
      </w:pPr>
      <w:r>
        <w:rPr>
          <w:rFonts w:hint="eastAsia"/>
          <w:spacing w:val="-4"/>
        </w:rPr>
        <w:t xml:space="preserve">               意向方（盖章）：</w:t>
      </w:r>
    </w:p>
    <w:p w14:paraId="4D937B79">
      <w:pPr>
        <w:pStyle w:val="11"/>
        <w:spacing w:before="64" w:line="261" w:lineRule="auto"/>
        <w:ind w:left="33" w:right="7" w:firstLine="526"/>
        <w:jc w:val="center"/>
        <w:rPr>
          <w:rFonts w:hint="eastAsia"/>
          <w:spacing w:val="-4"/>
        </w:rPr>
      </w:pPr>
      <w:r>
        <w:rPr>
          <w:rFonts w:hint="eastAsia"/>
          <w:spacing w:val="-4"/>
        </w:rPr>
        <w:t xml:space="preserve">    法定代表人/负责人（签章）：</w:t>
      </w:r>
    </w:p>
    <w:p w14:paraId="2DF4B151">
      <w:pPr>
        <w:pStyle w:val="11"/>
        <w:spacing w:before="64" w:line="261" w:lineRule="auto"/>
        <w:ind w:left="33" w:right="7" w:firstLine="526"/>
        <w:jc w:val="center"/>
        <w:rPr>
          <w:spacing w:val="-4"/>
        </w:rPr>
      </w:pPr>
      <w:r>
        <w:rPr>
          <w:rFonts w:hint="eastAsia"/>
          <w:spacing w:val="-4"/>
        </w:rPr>
        <w:t xml:space="preserve">            委托代理人（签字）：</w:t>
      </w:r>
    </w:p>
    <w:p w14:paraId="56773339">
      <w:pPr>
        <w:pStyle w:val="39"/>
        <w:spacing w:before="0" w:after="0" w:line="570" w:lineRule="exact"/>
        <w:rPr>
          <w:spacing w:val="0"/>
        </w:rPr>
      </w:pPr>
      <w:bookmarkStart w:id="0" w:name="_GoBack"/>
      <w:bookmarkEnd w:id="0"/>
    </w:p>
    <w:p w14:paraId="4BE513C5">
      <w:pPr>
        <w:spacing w:line="570" w:lineRule="exact"/>
        <w:ind w:firstLine="660"/>
        <w:jc w:val="center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 </w:t>
      </w: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B3A9A">
    <w:pPr>
      <w:pStyle w:val="1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80085" cy="377825"/>
              <wp:effectExtent l="0" t="0" r="0" b="0"/>
              <wp:wrapNone/>
              <wp:docPr id="164546371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08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D2D80">
                          <w:pPr>
                            <w:pStyle w:val="29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29.75pt;width:53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P80QdIAAAAE&#10;AQAADwAAAGRycy9kb3ducmV2LnhtbE2PwW7CMBBE75X4B2uReit2KlEgxOGAxKW30qoSNxMvcYS9&#10;jmwTkr+v6aW9rDSa0czbajc6ywYMsfMkoVgIYEiN1x21Er4+Dy9rYDEp0sp6QgkTRtjVs6dKldrf&#10;6QOHY2pZLqFYKgkmpb7kPDYGnYoL3yNl7+KDUynL0HId1D2XO8tfhXjjTnWUF4zqcW+wuR5vTsJq&#10;/PbYR9zj6TI0wXTT2r5PUj7PC7EFlnBMf2F44Gd0qDPT2d9IR2Yl5EfS7314YlUAO0tYbpbA64r/&#10;h69/AFBLAwQUAAAACACHTuJAAevx8hECAAALBAAADgAAAGRycy9lMm9Eb2MueG1srVNLbtswFNwX&#10;6B0I7mvJTuwYguUgjeGiQPoB0h6ApiiLqMRHPNKW3AO0N+gqm+57Lp+jj5Tlpukmi26Ix88bzgyH&#10;i+uuqdleodNgcj4epZwpI6HQZpvzz5/Wr+acOS9MIWowKucH5fj18uWLRWszNYEK6kIhIxDjstbm&#10;vPLeZkniZKUa4UZglaHNErARnqa4TQoULaE3dTJJ01nSAhYWQSrnaHXVb/ITIj4HEMpSS7UCuWuU&#10;8T0qqlp4kuQqbR1fRrZlqaT/UJZOeVbnnJT6ONIlVG/CmCwXItuisJWWJwriORSeaGqENnTpGWol&#10;vGA71P9ANVoiOCj9SEKT9EKiI6RinD7x5r4SVkUtZLWzZ9Pd/4OV7/cfkemCkjC7nF7OLq7GY86M&#10;aOjljz++Hx9+HX9+Y+PgU2tdRsfvLTX47jV01BM1O3sH8otjBm4rYbbqBhHaSomCeMbO5FFrj+MC&#10;yKZ9BwXdI3YeIlBXYhNMJFsYodMbHc5vpDrPJC3O5mk6n3Imaevi6mo+mQZuiciGZovOv1HQsFDk&#10;HCkCEVzs75zvjw5Hwl0G1rquYwxq89cCYYaVSD7w7Zn7btOdzNhAcSAZCH2q6E9RUQF+5aylROXc&#10;0AfirH5ryIgQvqHAodgMhTCSGnPuOevLW9+HdGdRbyvCHay+IbPWOgoJrvYcTiwpI9GKU55DCB/P&#10;46k/f3j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D/NEHSAAAABAEAAA8AAAAAAAAAAQAgAAAA&#10;IgAAAGRycy9kb3ducmV2LnhtbFBLAQIUABQAAAAIAIdO4kAB6/HyEQIAAAsEAAAOAAAAAAAAAAEA&#10;IAAAACE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CD2D80">
                    <w:pPr>
                      <w:pStyle w:val="29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A840328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77480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53E81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49"/>
    <w:rsid w:val="00076678"/>
    <w:rsid w:val="00332549"/>
    <w:rsid w:val="004A0078"/>
    <w:rsid w:val="00520018"/>
    <w:rsid w:val="007D4266"/>
    <w:rsid w:val="009F42E0"/>
    <w:rsid w:val="00C85D68"/>
    <w:rsid w:val="00FB25A4"/>
    <w:rsid w:val="028C4DC0"/>
    <w:rsid w:val="043C2921"/>
    <w:rsid w:val="1E7828DC"/>
    <w:rsid w:val="483F42E6"/>
    <w:rsid w:val="4EA07161"/>
    <w:rsid w:val="53A4155E"/>
    <w:rsid w:val="57DB56AE"/>
    <w:rsid w:val="5C054774"/>
    <w:rsid w:val="7B2745E3"/>
    <w:rsid w:val="7E1322EF"/>
    <w:rsid w:val="7E5B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 字符"/>
    <w:basedOn w:val="17"/>
    <w:link w:val="1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customStyle="1" w:styleId="39">
    <w:name w:val="表格文字"/>
    <w:basedOn w:val="1"/>
    <w:qFormat/>
    <w:uiPriority w:val="0"/>
    <w:pPr>
      <w:snapToGrid w:val="0"/>
      <w:spacing w:before="25" w:after="25" w:line="360" w:lineRule="auto"/>
    </w:pPr>
    <w:rPr>
      <w:bCs/>
      <w:spacing w:val="1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784</Characters>
  <Lines>38</Lines>
  <Paragraphs>37</Paragraphs>
  <TotalTime>0</TotalTime>
  <ScaleCrop>false</ScaleCrop>
  <LinksUpToDate>false</LinksUpToDate>
  <CharactersWithSpaces>888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2026-08-18T10:17:00Z</dcterms:created>
  <dc:creator>洪鑫 吕</dc:creator>
  <cp:lastModifiedBy>Tiff</cp:lastModifiedBy>
  <dcterms:modified xsi:type="dcterms:W3CDTF">2026-09-10T09:08:35Z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eyJoZGlkIjoiMWUzMzZlZTk5NThiYmRiZmM0YzMyNDUyYjlhMTViY2IiLCJ1c2VySWQiOiIyNzUyNTQwMDIifQ==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B027CAD7B29242C69CF66BF92CA46E23_12</vt:lpwstr>
  </property>
</Properties>
</file>