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3873F">
      <w:pPr>
        <w:spacing w:line="520" w:lineRule="exact"/>
        <w:jc w:val="center"/>
        <w:rPr>
          <w:rFonts w:hint="eastAsia" w:ascii="方正小标宋简体" w:hAnsi="方正小标宋简体" w:eastAsia="方正小标宋简体" w:cs="方正小标宋简体"/>
          <w:b w:val="0"/>
          <w:bCs w:val="0"/>
          <w:sz w:val="44"/>
          <w:szCs w:val="28"/>
        </w:rPr>
      </w:pPr>
      <w:r>
        <w:rPr>
          <w:rFonts w:hint="eastAsia" w:ascii="方正小标宋简体" w:hAnsi="方正小标宋简体" w:eastAsia="方正小标宋简体" w:cs="方正小标宋简体"/>
          <w:b w:val="0"/>
          <w:bCs w:val="0"/>
          <w:sz w:val="44"/>
          <w:szCs w:val="28"/>
        </w:rPr>
        <w:t>报 价 书</w:t>
      </w:r>
    </w:p>
    <w:p w14:paraId="4200E7D6">
      <w:pPr>
        <w:spacing w:line="520" w:lineRule="exact"/>
        <w:jc w:val="center"/>
        <w:rPr>
          <w:rFonts w:ascii="仿宋" w:hAnsi="仿宋" w:eastAsia="仿宋"/>
          <w:sz w:val="28"/>
          <w:szCs w:val="28"/>
        </w:rPr>
      </w:pPr>
    </w:p>
    <w:p w14:paraId="226E77D5">
      <w:pPr>
        <w:keepNext w:val="0"/>
        <w:keepLines w:val="0"/>
        <w:pageBreakBefore w:val="0"/>
        <w:widowControl w:val="0"/>
        <w:tabs>
          <w:tab w:val="left" w:pos="7938"/>
          <w:tab w:val="left" w:pos="8080"/>
          <w:tab w:val="left" w:pos="8505"/>
        </w:tabs>
        <w:kinsoku/>
        <w:overflowPunct/>
        <w:topLinePunct w:val="0"/>
        <w:autoSpaceDE/>
        <w:autoSpaceDN/>
        <w:bidi w:val="0"/>
        <w:adjustRightInd/>
        <w:snapToGrid/>
        <w:spacing w:line="600" w:lineRule="exact"/>
        <w:ind w:right="0" w:rightChars="0"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本意向方已</w:t>
      </w:r>
      <w:r>
        <w:rPr>
          <w:rFonts w:hint="eastAsia" w:ascii="仿宋_GB2312" w:hAnsi="仿宋_GB2312" w:eastAsia="仿宋_GB2312" w:cs="仿宋_GB2312"/>
          <w:sz w:val="28"/>
          <w:szCs w:val="28"/>
          <w:highlight w:val="none"/>
        </w:rPr>
        <w:t>认真阅读</w:t>
      </w:r>
      <w:r>
        <w:rPr>
          <w:rFonts w:hint="eastAsia" w:ascii="仿宋_GB2312" w:hAnsi="仿宋_GB2312" w:eastAsia="仿宋_GB2312" w:cs="仿宋_GB2312"/>
          <w:sz w:val="28"/>
          <w:szCs w:val="28"/>
          <w:highlight w:val="none"/>
          <w:lang w:val="en-US" w:eastAsia="zh-CN"/>
        </w:rPr>
        <w:t>广州市从化区城郊建筑废弃物资源化综合利用项目</w:t>
      </w:r>
      <w:r>
        <w:rPr>
          <w:rFonts w:hint="eastAsia" w:ascii="仿宋_GB2312" w:hAnsi="仿宋_GB2312" w:eastAsia="仿宋_GB2312" w:cs="仿宋_GB2312"/>
          <w:sz w:val="28"/>
          <w:szCs w:val="28"/>
          <w:highlight w:val="none"/>
        </w:rPr>
        <w:t>（交易编号：</w:t>
      </w:r>
      <w:r>
        <w:rPr>
          <w:rFonts w:hint="eastAsia" w:ascii="仿宋_GB2312" w:hAnsi="仿宋_GB2312" w:eastAsia="仿宋_GB2312" w:cs="仿宋_GB2312"/>
          <w:sz w:val="28"/>
          <w:szCs w:val="28"/>
          <w:highlight w:val="none"/>
          <w:lang w:val="en-US" w:eastAsia="zh-CN"/>
        </w:rPr>
        <w:t>XXXXXX</w:t>
      </w:r>
      <w:r>
        <w:rPr>
          <w:rFonts w:hint="eastAsia" w:ascii="仿宋_GB2312" w:hAnsi="仿宋_GB2312" w:eastAsia="仿宋_GB2312" w:cs="仿宋_GB2312"/>
          <w:sz w:val="28"/>
          <w:szCs w:val="28"/>
          <w:highlight w:val="none"/>
        </w:rPr>
        <w:t>）项目公告、公告相关附件、《</w:t>
      </w:r>
      <w:r>
        <w:rPr>
          <w:rFonts w:hint="eastAsia" w:ascii="仿宋_GB2312" w:hAnsi="仿宋_GB2312" w:eastAsia="仿宋_GB2312" w:cs="仿宋_GB2312"/>
          <w:color w:val="000000"/>
          <w:sz w:val="28"/>
          <w:szCs w:val="28"/>
          <w:highlight w:val="none"/>
        </w:rPr>
        <w:t>广州产权交易所有限公司交易项目电子评审实施办法</w:t>
      </w:r>
      <w:r>
        <w:rPr>
          <w:rFonts w:hint="eastAsia" w:ascii="仿宋_GB2312" w:hAnsi="仿宋_GB2312" w:eastAsia="仿宋_GB2312" w:cs="仿宋_GB2312"/>
          <w:sz w:val="28"/>
          <w:szCs w:val="28"/>
          <w:highlight w:val="none"/>
        </w:rPr>
        <w:t>》，完全理解并接受上述相关规定。本意向方承诺按照以下的响应表述履行相应义务，承诺如与事实不符或因本意向方自身原因致使任何一项承诺未按规定完成，本意向方愿承担由此而产生的一切责任。</w:t>
      </w:r>
    </w:p>
    <w:p w14:paraId="57F22B46">
      <w:pPr>
        <w:keepNext w:val="0"/>
        <w:keepLines w:val="0"/>
        <w:pageBreakBefore w:val="0"/>
        <w:widowControl w:val="0"/>
        <w:tabs>
          <w:tab w:val="left" w:pos="7938"/>
          <w:tab w:val="left" w:pos="8080"/>
          <w:tab w:val="left" w:pos="8505"/>
        </w:tabs>
        <w:kinsoku/>
        <w:wordWrap/>
        <w:overflowPunct/>
        <w:topLinePunct w:val="0"/>
        <w:autoSpaceDE/>
        <w:autoSpaceDN/>
        <w:bidi w:val="0"/>
        <w:adjustRightInd/>
        <w:snapToGrid/>
        <w:spacing w:line="600" w:lineRule="exact"/>
        <w:ind w:right="0" w:rightChars="0"/>
        <w:jc w:val="both"/>
        <w:textAlignment w:val="auto"/>
        <w:rPr>
          <w:rFonts w:hint="eastAsia" w:ascii="仿宋_GB2312" w:hAnsi="仿宋_GB2312" w:eastAsia="仿宋_GB2312" w:cs="仿宋_GB2312"/>
          <w:spacing w:val="6"/>
          <w:sz w:val="28"/>
          <w:szCs w:val="28"/>
          <w:highlight w:val="none"/>
        </w:rPr>
      </w:pPr>
      <w:r>
        <w:rPr>
          <w:rFonts w:hint="eastAsia" w:ascii="仿宋_GB2312" w:hAnsi="仿宋_GB2312" w:eastAsia="仿宋_GB2312" w:cs="仿宋_GB2312"/>
          <w:spacing w:val="6"/>
          <w:sz w:val="28"/>
          <w:szCs w:val="28"/>
          <w:highlight w:val="none"/>
        </w:rPr>
        <w:t>本意向方对标的的报价为 ：</w:t>
      </w:r>
    </w:p>
    <w:tbl>
      <w:tblPr>
        <w:tblStyle w:val="6"/>
        <w:tblW w:w="5976" w:type="pct"/>
        <w:tblInd w:w="-10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99"/>
        <w:gridCol w:w="4056"/>
        <w:gridCol w:w="1894"/>
        <w:gridCol w:w="2736"/>
      </w:tblGrid>
      <w:tr w14:paraId="6A126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48" w:type="pct"/>
            <w:tcBorders>
              <w:top w:val="single" w:color="000000" w:sz="4" w:space="0"/>
              <w:left w:val="single" w:color="000000" w:sz="4" w:space="0"/>
              <w:bottom w:val="single" w:color="000000" w:sz="4" w:space="0"/>
              <w:right w:val="single" w:color="000000" w:sz="4" w:space="0"/>
            </w:tcBorders>
            <w:noWrap w:val="0"/>
            <w:vAlign w:val="center"/>
          </w:tcPr>
          <w:p w14:paraId="2454762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955" w:type="pct"/>
            <w:tcBorders>
              <w:top w:val="single" w:color="000000" w:sz="4" w:space="0"/>
              <w:left w:val="single" w:color="000000" w:sz="4" w:space="0"/>
              <w:bottom w:val="single" w:color="000000" w:sz="4" w:space="0"/>
              <w:right w:val="single" w:color="000000" w:sz="4" w:space="0"/>
            </w:tcBorders>
            <w:noWrap w:val="0"/>
            <w:vAlign w:val="center"/>
          </w:tcPr>
          <w:p w14:paraId="45A2AAD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建筑废弃物/建材进货量数量阶梯</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（单位：吨）</w:t>
            </w:r>
          </w:p>
        </w:tc>
        <w:tc>
          <w:tcPr>
            <w:tcW w:w="941" w:type="pct"/>
            <w:tcBorders>
              <w:top w:val="single" w:color="000000" w:sz="4" w:space="0"/>
              <w:left w:val="single" w:color="000000" w:sz="4" w:space="0"/>
              <w:bottom w:val="single" w:color="000000" w:sz="4" w:space="0"/>
              <w:right w:val="single" w:color="000000" w:sz="4" w:space="0"/>
            </w:tcBorders>
            <w:noWrap w:val="0"/>
            <w:vAlign w:val="center"/>
          </w:tcPr>
          <w:p w14:paraId="049AD7F4">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保底费用</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（单位：元）</w:t>
            </w:r>
          </w:p>
        </w:tc>
        <w:tc>
          <w:tcPr>
            <w:tcW w:w="1354" w:type="pct"/>
            <w:tcBorders>
              <w:top w:val="single" w:color="000000" w:sz="4" w:space="0"/>
              <w:left w:val="single" w:color="000000" w:sz="4" w:space="0"/>
              <w:bottom w:val="single" w:color="000000" w:sz="4" w:space="0"/>
              <w:right w:val="single" w:color="000000" w:sz="4" w:space="0"/>
            </w:tcBorders>
            <w:noWrap w:val="0"/>
            <w:vAlign w:val="center"/>
          </w:tcPr>
          <w:p w14:paraId="3BA4A62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累进管理费用基准</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（单位：元/吨）</w:t>
            </w:r>
          </w:p>
        </w:tc>
      </w:tr>
      <w:tr w14:paraId="255C5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48" w:type="pct"/>
            <w:tcBorders>
              <w:top w:val="single" w:color="000000" w:sz="4" w:space="0"/>
              <w:left w:val="single" w:color="000000" w:sz="4" w:space="0"/>
              <w:bottom w:val="single" w:color="000000" w:sz="4" w:space="0"/>
              <w:right w:val="single" w:color="000000" w:sz="4" w:space="0"/>
            </w:tcBorders>
            <w:noWrap w:val="0"/>
            <w:vAlign w:val="center"/>
          </w:tcPr>
          <w:p w14:paraId="6138AC5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955" w:type="pct"/>
            <w:tcBorders>
              <w:top w:val="single" w:color="000000" w:sz="4" w:space="0"/>
              <w:left w:val="single" w:color="000000" w:sz="4" w:space="0"/>
              <w:bottom w:val="single" w:color="000000" w:sz="4" w:space="0"/>
              <w:right w:val="single" w:color="000000" w:sz="4" w:space="0"/>
            </w:tcBorders>
            <w:noWrap/>
            <w:vAlign w:val="center"/>
          </w:tcPr>
          <w:p w14:paraId="2A575901">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Style w:val="13"/>
                <w:rFonts w:hint="eastAsia" w:ascii="宋体" w:hAnsi="宋体" w:eastAsia="宋体" w:cs="宋体"/>
                <w:color w:val="auto"/>
                <w:sz w:val="24"/>
                <w:szCs w:val="24"/>
                <w:highlight w:val="none"/>
                <w:lang w:bidi="ar"/>
              </w:rPr>
              <w:t>30万</w:t>
            </w:r>
            <w:r>
              <w:rPr>
                <w:rStyle w:val="14"/>
                <w:rFonts w:hint="eastAsia" w:ascii="宋体" w:hAnsi="宋体" w:eastAsia="宋体" w:cs="宋体"/>
                <w:color w:val="auto"/>
                <w:sz w:val="24"/>
                <w:szCs w:val="24"/>
                <w:highlight w:val="none"/>
                <w:lang w:bidi="ar"/>
              </w:rPr>
              <w:t>（不足</w:t>
            </w:r>
            <w:r>
              <w:rPr>
                <w:rStyle w:val="13"/>
                <w:rFonts w:hint="eastAsia" w:ascii="宋体" w:hAnsi="宋体" w:eastAsia="宋体" w:cs="宋体"/>
                <w:color w:val="auto"/>
                <w:sz w:val="24"/>
                <w:szCs w:val="24"/>
                <w:highlight w:val="none"/>
                <w:lang w:bidi="ar"/>
              </w:rPr>
              <w:t>30</w:t>
            </w:r>
            <w:r>
              <w:rPr>
                <w:rStyle w:val="14"/>
                <w:rFonts w:hint="eastAsia" w:ascii="宋体" w:hAnsi="宋体" w:eastAsia="宋体" w:cs="宋体"/>
                <w:color w:val="auto"/>
                <w:sz w:val="24"/>
                <w:szCs w:val="24"/>
                <w:highlight w:val="none"/>
                <w:lang w:bidi="ar"/>
              </w:rPr>
              <w:t>万按</w:t>
            </w:r>
            <w:r>
              <w:rPr>
                <w:rStyle w:val="13"/>
                <w:rFonts w:hint="eastAsia" w:ascii="宋体" w:hAnsi="宋体" w:eastAsia="宋体" w:cs="宋体"/>
                <w:color w:val="auto"/>
                <w:sz w:val="24"/>
                <w:szCs w:val="24"/>
                <w:highlight w:val="none"/>
                <w:lang w:bidi="ar"/>
              </w:rPr>
              <w:t>30</w:t>
            </w:r>
            <w:r>
              <w:rPr>
                <w:rStyle w:val="14"/>
                <w:rFonts w:hint="eastAsia" w:ascii="宋体" w:hAnsi="宋体" w:eastAsia="宋体" w:cs="宋体"/>
                <w:color w:val="auto"/>
                <w:sz w:val="24"/>
                <w:szCs w:val="24"/>
                <w:highlight w:val="none"/>
                <w:lang w:bidi="ar"/>
              </w:rPr>
              <w:t>万计算）</w:t>
            </w:r>
          </w:p>
        </w:tc>
        <w:tc>
          <w:tcPr>
            <w:tcW w:w="941" w:type="pct"/>
            <w:vMerge w:val="restart"/>
            <w:tcBorders>
              <w:top w:val="single" w:color="000000" w:sz="4" w:space="0"/>
              <w:left w:val="single" w:color="000000" w:sz="4" w:space="0"/>
              <w:right w:val="single" w:color="000000" w:sz="4" w:space="0"/>
            </w:tcBorders>
            <w:noWrap/>
            <w:vAlign w:val="center"/>
          </w:tcPr>
          <w:p w14:paraId="7EAA57A1">
            <w:pPr>
              <w:keepNext w:val="0"/>
              <w:keepLines w:val="0"/>
              <w:pageBreakBefore w:val="0"/>
              <w:widowControl/>
              <w:kinsoku/>
              <w:wordWrap/>
              <w:overflowPunct/>
              <w:topLinePunct w:val="0"/>
              <w:bidi w:val="0"/>
              <w:adjustRightInd/>
              <w:snapToGrid/>
              <w:spacing w:line="360" w:lineRule="auto"/>
              <w:ind w:firstLine="480" w:firstLineChars="200"/>
              <w:jc w:val="both"/>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val="en-US" w:eastAsia="zh-CN" w:bidi="ar"/>
              </w:rPr>
              <w:t>24</w:t>
            </w:r>
            <w:r>
              <w:rPr>
                <w:rFonts w:hint="eastAsia" w:ascii="宋体" w:hAnsi="宋体" w:eastAsia="宋体" w:cs="宋体"/>
                <w:color w:val="auto"/>
                <w:kern w:val="0"/>
                <w:sz w:val="24"/>
                <w:szCs w:val="24"/>
                <w:highlight w:val="none"/>
                <w:lang w:bidi="ar"/>
              </w:rPr>
              <w:t>万</w:t>
            </w:r>
          </w:p>
        </w:tc>
        <w:tc>
          <w:tcPr>
            <w:tcW w:w="1354" w:type="pct"/>
            <w:tcBorders>
              <w:top w:val="single" w:color="000000" w:sz="4" w:space="0"/>
              <w:left w:val="single" w:color="000000" w:sz="4" w:space="0"/>
              <w:bottom w:val="single" w:color="000000" w:sz="4" w:space="0"/>
              <w:right w:val="single" w:color="000000" w:sz="4" w:space="0"/>
            </w:tcBorders>
            <w:noWrap/>
            <w:vAlign w:val="center"/>
          </w:tcPr>
          <w:p w14:paraId="1D636055">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0</w:t>
            </w:r>
          </w:p>
        </w:tc>
      </w:tr>
      <w:tr w14:paraId="2EF14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48" w:type="pct"/>
            <w:tcBorders>
              <w:top w:val="single" w:color="000000" w:sz="4" w:space="0"/>
              <w:left w:val="single" w:color="000000" w:sz="4" w:space="0"/>
              <w:bottom w:val="single" w:color="000000" w:sz="4" w:space="0"/>
              <w:right w:val="single" w:color="000000" w:sz="4" w:space="0"/>
            </w:tcBorders>
            <w:noWrap w:val="0"/>
            <w:vAlign w:val="center"/>
          </w:tcPr>
          <w:p w14:paraId="42347EC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2</w:t>
            </w:r>
          </w:p>
        </w:tc>
        <w:tc>
          <w:tcPr>
            <w:tcW w:w="1955" w:type="pct"/>
            <w:tcBorders>
              <w:top w:val="single" w:color="000000" w:sz="4" w:space="0"/>
              <w:left w:val="single" w:color="000000" w:sz="4" w:space="0"/>
              <w:bottom w:val="single" w:color="000000" w:sz="4" w:space="0"/>
              <w:right w:val="single" w:color="000000" w:sz="4" w:space="0"/>
            </w:tcBorders>
            <w:noWrap/>
            <w:vAlign w:val="center"/>
          </w:tcPr>
          <w:p w14:paraId="00605F56">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30万-40万（含40万吨）</w:t>
            </w:r>
          </w:p>
        </w:tc>
        <w:tc>
          <w:tcPr>
            <w:tcW w:w="941" w:type="pct"/>
            <w:vMerge w:val="continue"/>
            <w:tcBorders>
              <w:left w:val="single" w:color="000000" w:sz="4" w:space="0"/>
              <w:right w:val="single" w:color="000000" w:sz="4" w:space="0"/>
            </w:tcBorders>
            <w:noWrap/>
            <w:vAlign w:val="center"/>
          </w:tcPr>
          <w:p w14:paraId="5E90475B">
            <w:pPr>
              <w:keepNext w:val="0"/>
              <w:keepLines w:val="0"/>
              <w:pageBreakBefore w:val="0"/>
              <w:kinsoku/>
              <w:wordWrap/>
              <w:overflowPunct/>
              <w:topLinePunct w:val="0"/>
              <w:bidi w:val="0"/>
              <w:adjustRightInd/>
              <w:snapToGrid/>
              <w:spacing w:line="360" w:lineRule="auto"/>
              <w:ind w:firstLine="482" w:firstLineChars="200"/>
              <w:jc w:val="center"/>
              <w:rPr>
                <w:rFonts w:hint="eastAsia" w:ascii="宋体" w:hAnsi="宋体" w:eastAsia="宋体" w:cs="宋体"/>
                <w:b/>
                <w:bCs/>
                <w:i w:val="0"/>
                <w:iCs w:val="0"/>
                <w:color w:val="000000"/>
                <w:sz w:val="24"/>
                <w:szCs w:val="24"/>
                <w:highlight w:val="none"/>
                <w:u w:val="none"/>
              </w:rPr>
            </w:pPr>
          </w:p>
        </w:tc>
        <w:tc>
          <w:tcPr>
            <w:tcW w:w="1354" w:type="pct"/>
            <w:tcBorders>
              <w:top w:val="single" w:color="000000" w:sz="4" w:space="0"/>
              <w:left w:val="single" w:color="000000" w:sz="4" w:space="0"/>
              <w:bottom w:val="single" w:color="000000" w:sz="4" w:space="0"/>
              <w:right w:val="single" w:color="000000" w:sz="4" w:space="0"/>
            </w:tcBorders>
            <w:noWrap/>
            <w:vAlign w:val="center"/>
          </w:tcPr>
          <w:p w14:paraId="6D868806">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6</w:t>
            </w:r>
          </w:p>
        </w:tc>
      </w:tr>
      <w:tr w14:paraId="0E40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748" w:type="pct"/>
            <w:tcBorders>
              <w:top w:val="single" w:color="000000" w:sz="4" w:space="0"/>
              <w:left w:val="single" w:color="000000" w:sz="4" w:space="0"/>
              <w:bottom w:val="single" w:color="000000" w:sz="4" w:space="0"/>
              <w:right w:val="single" w:color="000000" w:sz="4" w:space="0"/>
            </w:tcBorders>
            <w:noWrap w:val="0"/>
            <w:vAlign w:val="center"/>
          </w:tcPr>
          <w:p w14:paraId="63D6562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3</w:t>
            </w:r>
          </w:p>
        </w:tc>
        <w:tc>
          <w:tcPr>
            <w:tcW w:w="1955" w:type="pct"/>
            <w:tcBorders>
              <w:top w:val="single" w:color="000000" w:sz="4" w:space="0"/>
              <w:left w:val="single" w:color="000000" w:sz="4" w:space="0"/>
              <w:bottom w:val="single" w:color="000000" w:sz="4" w:space="0"/>
              <w:right w:val="single" w:color="000000" w:sz="4" w:space="0"/>
            </w:tcBorders>
            <w:noWrap/>
            <w:vAlign w:val="center"/>
          </w:tcPr>
          <w:p w14:paraId="50DE7574">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40万-50万（含50万吨）</w:t>
            </w:r>
          </w:p>
        </w:tc>
        <w:tc>
          <w:tcPr>
            <w:tcW w:w="941" w:type="pct"/>
            <w:vMerge w:val="continue"/>
            <w:tcBorders>
              <w:left w:val="single" w:color="000000" w:sz="4" w:space="0"/>
              <w:right w:val="single" w:color="000000" w:sz="4" w:space="0"/>
            </w:tcBorders>
            <w:noWrap/>
            <w:vAlign w:val="center"/>
          </w:tcPr>
          <w:p w14:paraId="4CF8D034">
            <w:pPr>
              <w:keepNext w:val="0"/>
              <w:keepLines w:val="0"/>
              <w:pageBreakBefore w:val="0"/>
              <w:kinsoku/>
              <w:wordWrap/>
              <w:overflowPunct/>
              <w:topLinePunct w:val="0"/>
              <w:bidi w:val="0"/>
              <w:adjustRightInd/>
              <w:snapToGrid/>
              <w:spacing w:line="360" w:lineRule="auto"/>
              <w:ind w:firstLine="482" w:firstLineChars="200"/>
              <w:jc w:val="center"/>
              <w:rPr>
                <w:rFonts w:hint="eastAsia" w:ascii="宋体" w:hAnsi="宋体" w:eastAsia="宋体" w:cs="宋体"/>
                <w:b/>
                <w:bCs/>
                <w:i w:val="0"/>
                <w:iCs w:val="0"/>
                <w:color w:val="000000"/>
                <w:sz w:val="24"/>
                <w:szCs w:val="24"/>
                <w:highlight w:val="none"/>
                <w:u w:val="none"/>
              </w:rPr>
            </w:pPr>
          </w:p>
        </w:tc>
        <w:tc>
          <w:tcPr>
            <w:tcW w:w="1354" w:type="pct"/>
            <w:tcBorders>
              <w:top w:val="single" w:color="000000" w:sz="4" w:space="0"/>
              <w:left w:val="single" w:color="000000" w:sz="4" w:space="0"/>
              <w:bottom w:val="single" w:color="000000" w:sz="4" w:space="0"/>
              <w:right w:val="single" w:color="000000" w:sz="4" w:space="0"/>
            </w:tcBorders>
            <w:noWrap/>
            <w:vAlign w:val="center"/>
          </w:tcPr>
          <w:p w14:paraId="6A02F95E">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5</w:t>
            </w:r>
          </w:p>
        </w:tc>
      </w:tr>
      <w:tr w14:paraId="4889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748" w:type="pct"/>
            <w:tcBorders>
              <w:top w:val="single" w:color="000000" w:sz="4" w:space="0"/>
              <w:left w:val="single" w:color="000000" w:sz="4" w:space="0"/>
              <w:bottom w:val="single" w:color="000000" w:sz="4" w:space="0"/>
              <w:right w:val="single" w:color="000000" w:sz="4" w:space="0"/>
            </w:tcBorders>
            <w:noWrap w:val="0"/>
            <w:vAlign w:val="center"/>
          </w:tcPr>
          <w:p w14:paraId="45E148A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4</w:t>
            </w:r>
          </w:p>
        </w:tc>
        <w:tc>
          <w:tcPr>
            <w:tcW w:w="1955" w:type="pct"/>
            <w:tcBorders>
              <w:top w:val="single" w:color="000000" w:sz="4" w:space="0"/>
              <w:left w:val="single" w:color="000000" w:sz="4" w:space="0"/>
              <w:bottom w:val="single" w:color="000000" w:sz="4" w:space="0"/>
              <w:right w:val="single" w:color="000000" w:sz="4" w:space="0"/>
            </w:tcBorders>
            <w:noWrap/>
            <w:vAlign w:val="center"/>
          </w:tcPr>
          <w:p w14:paraId="4FBF47A0">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50万以上</w:t>
            </w:r>
          </w:p>
        </w:tc>
        <w:tc>
          <w:tcPr>
            <w:tcW w:w="941" w:type="pct"/>
            <w:vMerge w:val="continue"/>
            <w:tcBorders>
              <w:left w:val="single" w:color="000000" w:sz="4" w:space="0"/>
              <w:bottom w:val="single" w:color="000000" w:sz="4" w:space="0"/>
              <w:right w:val="single" w:color="000000" w:sz="4" w:space="0"/>
            </w:tcBorders>
            <w:noWrap/>
            <w:vAlign w:val="center"/>
          </w:tcPr>
          <w:p w14:paraId="17F6AC66">
            <w:pPr>
              <w:keepNext w:val="0"/>
              <w:keepLines w:val="0"/>
              <w:pageBreakBefore w:val="0"/>
              <w:kinsoku/>
              <w:wordWrap/>
              <w:overflowPunct/>
              <w:topLinePunct w:val="0"/>
              <w:bidi w:val="0"/>
              <w:adjustRightInd/>
              <w:snapToGrid/>
              <w:spacing w:line="360" w:lineRule="auto"/>
              <w:ind w:firstLine="482" w:firstLineChars="200"/>
              <w:jc w:val="center"/>
              <w:rPr>
                <w:rFonts w:hint="eastAsia" w:ascii="宋体" w:hAnsi="宋体" w:eastAsia="宋体" w:cs="宋体"/>
                <w:b/>
                <w:bCs/>
                <w:i w:val="0"/>
                <w:iCs w:val="0"/>
                <w:color w:val="000000"/>
                <w:sz w:val="24"/>
                <w:szCs w:val="24"/>
                <w:highlight w:val="none"/>
                <w:u w:val="none"/>
              </w:rPr>
            </w:pPr>
          </w:p>
        </w:tc>
        <w:tc>
          <w:tcPr>
            <w:tcW w:w="1354" w:type="pct"/>
            <w:tcBorders>
              <w:top w:val="single" w:color="000000" w:sz="4" w:space="0"/>
              <w:left w:val="single" w:color="000000" w:sz="4" w:space="0"/>
              <w:bottom w:val="single" w:color="000000" w:sz="4" w:space="0"/>
              <w:right w:val="single" w:color="000000" w:sz="4" w:space="0"/>
            </w:tcBorders>
            <w:noWrap/>
            <w:vAlign w:val="center"/>
          </w:tcPr>
          <w:p w14:paraId="4B40661F">
            <w:pPr>
              <w:keepNext w:val="0"/>
              <w:keepLines w:val="0"/>
              <w:pageBreakBefore w:val="0"/>
              <w:widowControl/>
              <w:kinsoku/>
              <w:wordWrap/>
              <w:overflowPunct/>
              <w:topLinePunct w:val="0"/>
              <w:bidi w:val="0"/>
              <w:adjustRightInd/>
              <w:snapToGrid/>
              <w:spacing w:line="360" w:lineRule="auto"/>
              <w:ind w:firstLine="480" w:firstLineChars="20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color w:val="auto"/>
                <w:kern w:val="0"/>
                <w:sz w:val="24"/>
                <w:szCs w:val="24"/>
                <w:highlight w:val="none"/>
                <w:lang w:bidi="ar"/>
              </w:rPr>
              <w:t>4</w:t>
            </w:r>
          </w:p>
        </w:tc>
      </w:tr>
      <w:tr w14:paraId="6005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74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62168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5</w:t>
            </w:r>
          </w:p>
        </w:tc>
        <w:tc>
          <w:tcPr>
            <w:tcW w:w="28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F32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累进管理费用上浮率（%）</w:t>
            </w:r>
          </w:p>
        </w:tc>
        <w:tc>
          <w:tcPr>
            <w:tcW w:w="1354" w:type="pct"/>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27670458">
            <w:pPr>
              <w:jc w:val="center"/>
              <w:rPr>
                <w:rFonts w:hint="eastAsia" w:ascii="宋体" w:hAnsi="宋体" w:eastAsia="宋体" w:cs="宋体"/>
                <w:i w:val="0"/>
                <w:iCs w:val="0"/>
                <w:color w:val="000000"/>
                <w:sz w:val="24"/>
                <w:szCs w:val="24"/>
                <w:highlight w:val="none"/>
                <w:u w:val="none"/>
              </w:rPr>
            </w:pPr>
          </w:p>
        </w:tc>
      </w:tr>
      <w:tr w14:paraId="5958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5" w:hRule="atLeast"/>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033D990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Style w:val="12"/>
                <w:b w:val="0"/>
                <w:bCs w:val="0"/>
                <w:color w:val="auto"/>
                <w:sz w:val="21"/>
                <w:szCs w:val="21"/>
                <w:highlight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注：</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1、意向方上浮率为在累进管理费用基准基础上浮，如意向方所报上浮率为10%，则其结算的累进费用取费：30-40万吨为6.6元/吨，40-50万吨为5.5元/吨，50万吨以上为4.4元/吨。</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2、意向方须在本表黄色底纹处填写上浮率即可，不得修改本报价表其他相关内容，上浮率≥0。</w:t>
            </w:r>
            <w:r>
              <w:rPr>
                <w:rStyle w:val="12"/>
                <w:b w:val="0"/>
                <w:bCs w:val="0"/>
                <w:color w:val="auto"/>
                <w:sz w:val="21"/>
                <w:szCs w:val="21"/>
                <w:highlight w:val="none"/>
                <w:lang w:val="en-US" w:eastAsia="zh-CN" w:bidi="ar"/>
              </w:rPr>
              <w:br w:type="textWrapping"/>
            </w:r>
            <w:r>
              <w:rPr>
                <w:rStyle w:val="12"/>
                <w:b w:val="0"/>
                <w:bCs w:val="0"/>
                <w:color w:val="auto"/>
                <w:sz w:val="21"/>
                <w:szCs w:val="21"/>
                <w:highlight w:val="none"/>
                <w:lang w:val="en-US" w:eastAsia="zh-CN" w:bidi="ar"/>
              </w:rPr>
              <w:t>3、未按上述要求填写并提供项目报价表的</w:t>
            </w:r>
            <w:r>
              <w:rPr>
                <w:rStyle w:val="12"/>
                <w:rFonts w:hint="eastAsia"/>
                <w:b w:val="0"/>
                <w:bCs w:val="0"/>
                <w:color w:val="auto"/>
                <w:sz w:val="21"/>
                <w:szCs w:val="21"/>
                <w:highlight w:val="none"/>
                <w:lang w:val="en-US" w:eastAsia="zh-CN" w:bidi="ar"/>
              </w:rPr>
              <w:t>意向方</w:t>
            </w:r>
            <w:r>
              <w:rPr>
                <w:rStyle w:val="12"/>
                <w:b w:val="0"/>
                <w:bCs w:val="0"/>
                <w:color w:val="auto"/>
                <w:sz w:val="21"/>
                <w:szCs w:val="21"/>
                <w:highlight w:val="none"/>
                <w:lang w:val="en-US" w:eastAsia="zh-CN" w:bidi="ar"/>
              </w:rPr>
              <w:t>将被否决。</w:t>
            </w:r>
            <w:r>
              <w:rPr>
                <w:rStyle w:val="12"/>
                <w:b w:val="0"/>
                <w:bCs w:val="0"/>
                <w:color w:val="auto"/>
                <w:sz w:val="21"/>
                <w:szCs w:val="21"/>
                <w:highlight w:val="none"/>
                <w:lang w:val="en-US" w:eastAsia="zh-CN" w:bidi="ar"/>
              </w:rPr>
              <w:br w:type="textWrapping"/>
            </w:r>
            <w:r>
              <w:rPr>
                <w:rStyle w:val="12"/>
                <w:b w:val="0"/>
                <w:bCs w:val="0"/>
                <w:color w:val="auto"/>
                <w:sz w:val="21"/>
                <w:szCs w:val="21"/>
                <w:highlight w:val="none"/>
                <w:lang w:val="en-US" w:eastAsia="zh-CN" w:bidi="ar"/>
              </w:rPr>
              <w:t>4、关于累进管理费计算的说明：若某结算周期，建筑废弃物进货量为60万吨，供应商所报上浮率为10%，那么按照上述保底加阶梯式递增的差额累进方法计算，</w:t>
            </w:r>
            <w:r>
              <w:rPr>
                <w:rStyle w:val="12"/>
                <w:rFonts w:hint="eastAsia"/>
                <w:b w:val="0"/>
                <w:bCs w:val="0"/>
                <w:color w:val="auto"/>
                <w:sz w:val="21"/>
                <w:szCs w:val="21"/>
                <w:highlight w:val="none"/>
                <w:lang w:val="en-US" w:eastAsia="zh-CN" w:bidi="ar"/>
              </w:rPr>
              <w:t>委托方</w:t>
            </w:r>
            <w:r>
              <w:rPr>
                <w:rStyle w:val="12"/>
                <w:b w:val="0"/>
                <w:bCs w:val="0"/>
                <w:color w:val="auto"/>
                <w:sz w:val="21"/>
                <w:szCs w:val="21"/>
                <w:highlight w:val="none"/>
                <w:lang w:val="en-US" w:eastAsia="zh-CN" w:bidi="ar"/>
              </w:rPr>
              <w:t>应收</w:t>
            </w:r>
            <w:r>
              <w:rPr>
                <w:rStyle w:val="12"/>
                <w:rFonts w:hint="eastAsia"/>
                <w:b w:val="0"/>
                <w:bCs w:val="0"/>
                <w:color w:val="auto"/>
                <w:sz w:val="21"/>
                <w:szCs w:val="21"/>
                <w:highlight w:val="none"/>
                <w:lang w:val="en-US" w:eastAsia="zh-CN" w:bidi="ar"/>
              </w:rPr>
              <w:t>意向方</w:t>
            </w:r>
            <w:r>
              <w:rPr>
                <w:rStyle w:val="12"/>
                <w:b w:val="0"/>
                <w:bCs w:val="0"/>
                <w:color w:val="auto"/>
                <w:sz w:val="21"/>
                <w:szCs w:val="21"/>
                <w:highlight w:val="none"/>
                <w:lang w:val="en-US" w:eastAsia="zh-CN" w:bidi="ar"/>
              </w:rPr>
              <w:t>的管理费计算方法为：</w:t>
            </w:r>
            <w:r>
              <w:rPr>
                <w:rStyle w:val="12"/>
                <w:b w:val="0"/>
                <w:bCs w:val="0"/>
                <w:color w:val="auto"/>
                <w:sz w:val="21"/>
                <w:szCs w:val="21"/>
                <w:highlight w:val="none"/>
                <w:lang w:val="en-US" w:eastAsia="zh-CN" w:bidi="ar"/>
              </w:rPr>
              <w:br w:type="textWrapping"/>
            </w:r>
            <w:r>
              <w:rPr>
                <w:rStyle w:val="12"/>
                <w:b w:val="0"/>
                <w:bCs w:val="0"/>
                <w:color w:val="auto"/>
                <w:sz w:val="21"/>
                <w:szCs w:val="21"/>
                <w:highlight w:val="none"/>
                <w:lang w:val="en-US" w:eastAsia="zh-CN" w:bidi="ar"/>
              </w:rPr>
              <w:t>60万吨按四个阶梯计算，其中第一阶梯为30万吨，计算保底收益为24万元；第二阶梯为10万吨，计算收益为10×6=60万元；第三阶梯为10万吨，计算收益为10×5=50万元；第四阶梯为10万吨，计算收益为10×4=40万元；</w:t>
            </w:r>
            <w:r>
              <w:rPr>
                <w:rStyle w:val="12"/>
                <w:rFonts w:hint="eastAsia"/>
                <w:b w:val="0"/>
                <w:bCs w:val="0"/>
                <w:color w:val="auto"/>
                <w:sz w:val="21"/>
                <w:szCs w:val="21"/>
                <w:highlight w:val="none"/>
                <w:lang w:val="en-US" w:eastAsia="zh-CN" w:bidi="ar"/>
              </w:rPr>
              <w:t>委托方</w:t>
            </w:r>
            <w:r>
              <w:rPr>
                <w:rStyle w:val="12"/>
                <w:b w:val="0"/>
                <w:bCs w:val="0"/>
                <w:color w:val="auto"/>
                <w:sz w:val="21"/>
                <w:szCs w:val="21"/>
                <w:highlight w:val="none"/>
                <w:lang w:val="en-US" w:eastAsia="zh-CN" w:bidi="ar"/>
              </w:rPr>
              <w:t>本结算周期收益为万元(24+60+50+40=</w:t>
            </w:r>
            <w:r>
              <w:rPr>
                <w:rStyle w:val="12"/>
                <w:rFonts w:hint="eastAsia"/>
                <w:b w:val="0"/>
                <w:bCs w:val="0"/>
                <w:color w:val="auto"/>
                <w:sz w:val="21"/>
                <w:szCs w:val="21"/>
                <w:highlight w:val="none"/>
                <w:lang w:val="en-US" w:eastAsia="zh-CN" w:bidi="ar"/>
              </w:rPr>
              <w:t>174</w:t>
            </w:r>
            <w:r>
              <w:rPr>
                <w:rStyle w:val="12"/>
                <w:b w:val="0"/>
                <w:bCs w:val="0"/>
                <w:color w:val="auto"/>
                <w:sz w:val="21"/>
                <w:szCs w:val="21"/>
                <w:highlight w:val="none"/>
                <w:lang w:val="en-US" w:eastAsia="zh-CN" w:bidi="ar"/>
              </w:rPr>
              <w:t>）。</w:t>
            </w:r>
          </w:p>
          <w:p w14:paraId="2426822C">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highlight w:val="none"/>
              </w:rPr>
            </w:pPr>
            <w:r>
              <w:rPr>
                <w:rStyle w:val="12"/>
                <w:rFonts w:hint="eastAsia"/>
                <w:b w:val="0"/>
                <w:bCs w:val="0"/>
                <w:color w:val="auto"/>
                <w:sz w:val="21"/>
                <w:szCs w:val="21"/>
                <w:highlight w:val="none"/>
                <w:lang w:val="en-US" w:eastAsia="zh-CN" w:bidi="ar"/>
              </w:rPr>
              <w:t>5.</w:t>
            </w:r>
            <w:r>
              <w:rPr>
                <w:rFonts w:hint="eastAsia" w:ascii="宋体" w:hAnsi="宋体" w:eastAsia="宋体" w:cs="宋体"/>
                <w:sz w:val="24"/>
                <w:szCs w:val="24"/>
                <w:highlight w:val="none"/>
              </w:rPr>
              <w:t>“累进管理费用”报价以上浮率进行报价，以</w:t>
            </w:r>
            <w:r>
              <w:rPr>
                <w:rFonts w:hint="eastAsia" w:ascii="宋体" w:hAnsi="宋体" w:eastAsia="宋体" w:cs="宋体"/>
                <w:sz w:val="24"/>
                <w:szCs w:val="24"/>
                <w:highlight w:val="none"/>
                <w:lang w:eastAsia="zh-CN"/>
              </w:rPr>
              <w:t>意向方</w:t>
            </w:r>
            <w:r>
              <w:rPr>
                <w:rFonts w:hint="eastAsia" w:ascii="宋体" w:hAnsi="宋体" w:eastAsia="宋体" w:cs="宋体"/>
                <w:sz w:val="24"/>
                <w:szCs w:val="24"/>
                <w:highlight w:val="none"/>
              </w:rPr>
              <w:t>最高上浮率报价为评审基准价，其价格分为满分，其他</w:t>
            </w:r>
            <w:r>
              <w:rPr>
                <w:rFonts w:hint="eastAsia" w:ascii="宋体" w:hAnsi="宋体" w:eastAsia="宋体" w:cs="宋体"/>
                <w:sz w:val="24"/>
                <w:szCs w:val="24"/>
                <w:highlight w:val="none"/>
                <w:lang w:eastAsia="zh-CN"/>
              </w:rPr>
              <w:t>意向方</w:t>
            </w:r>
            <w:r>
              <w:rPr>
                <w:rFonts w:hint="eastAsia" w:ascii="宋体" w:hAnsi="宋体" w:eastAsia="宋体" w:cs="宋体"/>
                <w:sz w:val="24"/>
                <w:szCs w:val="24"/>
                <w:highlight w:val="none"/>
              </w:rPr>
              <w:t>的价格分统一按照下列公式计算，价格评分按四舍五入法取小数点后两位：</w:t>
            </w:r>
          </w:p>
          <w:p w14:paraId="615F006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Style w:val="12"/>
                <w:rFonts w:hint="eastAsia" w:eastAsia="宋体"/>
                <w:b w:val="0"/>
                <w:bCs w:val="0"/>
                <w:color w:val="auto"/>
                <w:sz w:val="21"/>
                <w:szCs w:val="21"/>
                <w:highlight w:val="none"/>
                <w:lang w:val="en-US" w:eastAsia="zh-CN" w:bidi="ar"/>
              </w:rPr>
            </w:pPr>
            <w:r>
              <w:rPr>
                <w:rFonts w:hint="eastAsia" w:ascii="宋体" w:hAnsi="宋体" w:eastAsia="宋体" w:cs="宋体"/>
                <w:sz w:val="24"/>
                <w:szCs w:val="24"/>
                <w:highlight w:val="none"/>
                <w:lang w:eastAsia="zh-CN"/>
              </w:rPr>
              <w:t>意向方</w:t>
            </w:r>
            <w:r>
              <w:rPr>
                <w:rFonts w:hint="eastAsia" w:ascii="宋体" w:hAnsi="宋体" w:eastAsia="宋体" w:cs="宋体"/>
                <w:sz w:val="24"/>
                <w:szCs w:val="24"/>
                <w:highlight w:val="none"/>
              </w:rPr>
              <w:t>价格分=（</w:t>
            </w:r>
            <w:r>
              <w:rPr>
                <w:rFonts w:hint="eastAsia" w:ascii="宋体" w:hAnsi="宋体" w:eastAsia="宋体" w:cs="宋体"/>
                <w:sz w:val="24"/>
                <w:szCs w:val="24"/>
                <w:highlight w:val="none"/>
                <w:lang w:eastAsia="zh-CN"/>
              </w:rPr>
              <w:t>意向方</w:t>
            </w:r>
            <w:r>
              <w:rPr>
                <w:rFonts w:hint="eastAsia" w:ascii="宋体" w:hAnsi="宋体" w:eastAsia="宋体" w:cs="宋体"/>
                <w:sz w:val="24"/>
                <w:szCs w:val="24"/>
                <w:highlight w:val="none"/>
              </w:rPr>
              <w:t>累进管理费用／评审基准价）×50</w:t>
            </w:r>
            <w:r>
              <w:rPr>
                <w:rFonts w:hint="eastAsia" w:ascii="宋体" w:hAnsi="宋体" w:eastAsia="宋体" w:cs="宋体"/>
                <w:sz w:val="24"/>
                <w:szCs w:val="24"/>
                <w:highlight w:val="none"/>
                <w:lang w:eastAsia="zh-CN"/>
              </w:rPr>
              <w:t>。</w:t>
            </w:r>
          </w:p>
        </w:tc>
      </w:tr>
    </w:tbl>
    <w:p w14:paraId="618AFF33">
      <w:pPr>
        <w:keepNext w:val="0"/>
        <w:keepLines w:val="0"/>
        <w:pageBreakBefore w:val="0"/>
        <w:widowControl w:val="0"/>
        <w:tabs>
          <w:tab w:val="left" w:pos="7938"/>
          <w:tab w:val="left" w:pos="8080"/>
          <w:tab w:val="left" w:pos="8505"/>
        </w:tabs>
        <w:kinsoku/>
        <w:wordWrap/>
        <w:overflowPunct/>
        <w:topLinePunct w:val="0"/>
        <w:autoSpaceDE/>
        <w:autoSpaceDN/>
        <w:bidi w:val="0"/>
        <w:adjustRightInd/>
        <w:snapToGrid/>
        <w:spacing w:line="600" w:lineRule="exact"/>
        <w:ind w:right="0" w:rightChars="0"/>
        <w:jc w:val="both"/>
        <w:textAlignment w:val="auto"/>
        <w:rPr>
          <w:rFonts w:hint="eastAsia" w:ascii="仿宋_GB2312" w:hAnsi="仿宋_GB2312" w:eastAsia="仿宋_GB2312" w:cs="仿宋_GB2312"/>
          <w:spacing w:val="6"/>
          <w:sz w:val="28"/>
          <w:szCs w:val="28"/>
          <w:highlight w:val="none"/>
        </w:rPr>
      </w:pPr>
    </w:p>
    <w:p w14:paraId="2576B660">
      <w:pPr>
        <w:keepNext w:val="0"/>
        <w:keepLines w:val="0"/>
        <w:pageBreakBefore w:val="0"/>
        <w:widowControl w:val="0"/>
        <w:kinsoku/>
        <w:overflowPunct/>
        <w:topLinePunct w:val="0"/>
        <w:autoSpaceDE/>
        <w:autoSpaceDN/>
        <w:bidi w:val="0"/>
        <w:adjustRightInd/>
        <w:spacing w:line="600" w:lineRule="exact"/>
        <w:ind w:firstLine="560" w:firstLineChars="200"/>
        <w:jc w:val="both"/>
        <w:textAlignment w:val="auto"/>
        <w:rPr>
          <w:rFonts w:hint="eastAsia" w:ascii="仿宋_GB2312" w:hAnsi="仿宋_GB2312" w:eastAsia="仿宋_GB2312" w:cs="仿宋_GB2312"/>
          <w:sz w:val="28"/>
          <w:szCs w:val="28"/>
          <w:highlight w:val="none"/>
        </w:rPr>
      </w:pPr>
    </w:p>
    <w:p w14:paraId="08129CD6">
      <w:pPr>
        <w:keepNext w:val="0"/>
        <w:keepLines w:val="0"/>
        <w:pageBreakBefore w:val="0"/>
        <w:widowControl w:val="0"/>
        <w:kinsoku/>
        <w:overflowPunct/>
        <w:topLinePunct w:val="0"/>
        <w:autoSpaceDE/>
        <w:autoSpaceDN/>
        <w:bidi w:val="0"/>
        <w:adjustRightInd/>
        <w:spacing w:line="600" w:lineRule="exact"/>
        <w:ind w:firstLine="560" w:firstLineChars="200"/>
        <w:jc w:val="both"/>
        <w:textAlignment w:val="auto"/>
        <w:rPr>
          <w:rFonts w:hint="eastAsia" w:ascii="仿宋_GB2312" w:hAnsi="仿宋_GB2312" w:eastAsia="仿宋_GB2312" w:cs="仿宋_GB2312"/>
          <w:sz w:val="28"/>
          <w:szCs w:val="28"/>
          <w:highlight w:val="none"/>
        </w:rPr>
      </w:pPr>
    </w:p>
    <w:p w14:paraId="47B0A2D1">
      <w:pPr>
        <w:keepNext w:val="0"/>
        <w:keepLines w:val="0"/>
        <w:pageBreakBefore w:val="0"/>
        <w:widowControl w:val="0"/>
        <w:kinsoku/>
        <w:overflowPunct/>
        <w:topLinePunct w:val="0"/>
        <w:autoSpaceDE/>
        <w:autoSpaceDN/>
        <w:bidi w:val="0"/>
        <w:adjustRightInd/>
        <w:spacing w:line="600" w:lineRule="exact"/>
        <w:ind w:left="0" w:leftChars="0" w:firstLine="3780" w:firstLineChars="135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意向</w:t>
      </w:r>
      <w:bookmarkStart w:id="2" w:name="_GoBack"/>
      <w:bookmarkEnd w:id="2"/>
      <w:r>
        <w:rPr>
          <w:rFonts w:hint="eastAsia" w:ascii="仿宋_GB2312" w:hAnsi="仿宋_GB2312" w:eastAsia="仿宋_GB2312" w:cs="仿宋_GB2312"/>
          <w:sz w:val="28"/>
          <w:szCs w:val="28"/>
          <w:highlight w:val="none"/>
        </w:rPr>
        <w:t>方（盖章）：</w:t>
      </w:r>
    </w:p>
    <w:p w14:paraId="259E919F">
      <w:pPr>
        <w:keepNext w:val="0"/>
        <w:keepLines w:val="0"/>
        <w:pageBreakBefore w:val="0"/>
        <w:widowControl w:val="0"/>
        <w:kinsoku/>
        <w:overflowPunct/>
        <w:topLinePunct w:val="0"/>
        <w:autoSpaceDE/>
        <w:autoSpaceDN/>
        <w:bidi w:val="0"/>
        <w:adjustRightInd/>
        <w:spacing w:line="600" w:lineRule="exact"/>
        <w:ind w:left="0" w:leftChars="0" w:firstLine="3780" w:firstLineChars="135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法定代表人（签字）：</w:t>
      </w:r>
    </w:p>
    <w:p w14:paraId="2510ACA2">
      <w:pPr>
        <w:keepNext w:val="0"/>
        <w:keepLines w:val="0"/>
        <w:pageBreakBefore w:val="0"/>
        <w:widowControl w:val="0"/>
        <w:kinsoku/>
        <w:overflowPunct/>
        <w:topLinePunct w:val="0"/>
        <w:autoSpaceDE/>
        <w:autoSpaceDN/>
        <w:bidi w:val="0"/>
        <w:adjustRightInd/>
        <w:spacing w:line="600" w:lineRule="exact"/>
        <w:ind w:left="0" w:leftChars="0" w:firstLine="3780" w:firstLineChars="135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通讯地址（邮编）：</w:t>
      </w:r>
    </w:p>
    <w:p w14:paraId="48F48666">
      <w:pPr>
        <w:keepNext w:val="0"/>
        <w:keepLines w:val="0"/>
        <w:pageBreakBefore w:val="0"/>
        <w:widowControl w:val="0"/>
        <w:tabs>
          <w:tab w:val="left" w:pos="3780"/>
          <w:tab w:val="left" w:pos="3960"/>
        </w:tabs>
        <w:kinsoku/>
        <w:overflowPunct/>
        <w:topLinePunct w:val="0"/>
        <w:autoSpaceDE/>
        <w:autoSpaceDN/>
        <w:bidi w:val="0"/>
        <w:adjustRightInd/>
        <w:spacing w:line="600" w:lineRule="exact"/>
        <w:ind w:left="0" w:leftChars="0" w:firstLine="3780" w:firstLineChars="135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联系人及联系电话：</w:t>
      </w:r>
    </w:p>
    <w:p w14:paraId="544E660F">
      <w:pPr>
        <w:keepNext w:val="0"/>
        <w:keepLines w:val="0"/>
        <w:pageBreakBefore w:val="0"/>
        <w:widowControl w:val="0"/>
        <w:tabs>
          <w:tab w:val="left" w:pos="7655"/>
        </w:tabs>
        <w:kinsoku/>
        <w:overflowPunct/>
        <w:topLinePunct w:val="0"/>
        <w:autoSpaceDE/>
        <w:autoSpaceDN/>
        <w:bidi w:val="0"/>
        <w:adjustRightInd/>
        <w:snapToGrid w:val="0"/>
        <w:spacing w:line="600" w:lineRule="exact"/>
        <w:ind w:left="0" w:leftChars="0" w:firstLine="3780" w:firstLineChars="1350"/>
        <w:jc w:val="both"/>
        <w:textAlignment w:val="auto"/>
        <w:rPr>
          <w:rFonts w:hint="eastAsia" w:ascii="仿宋_GB2312" w:hAnsi="仿宋_GB2312" w:eastAsia="仿宋_GB2312" w:cs="仿宋_GB2312"/>
          <w:sz w:val="28"/>
          <w:szCs w:val="28"/>
          <w:highlight w:val="none"/>
        </w:rPr>
      </w:pPr>
      <w:bookmarkStart w:id="0" w:name="_Hlt47431622"/>
      <w:bookmarkEnd w:id="0"/>
      <w:bookmarkStart w:id="1" w:name="_Hlt47432303"/>
      <w:bookmarkEnd w:id="1"/>
      <w:r>
        <w:rPr>
          <w:rFonts w:hint="eastAsia" w:ascii="仿宋_GB2312" w:hAnsi="仿宋_GB2312" w:eastAsia="仿宋_GB2312" w:cs="仿宋_GB2312"/>
          <w:sz w:val="28"/>
          <w:szCs w:val="28"/>
          <w:highlight w:val="none"/>
        </w:rPr>
        <w:t xml:space="preserve">     时间：    年   月   日   </w:t>
      </w:r>
    </w:p>
    <w:p w14:paraId="46203D75">
      <w:pPr>
        <w:rPr>
          <w:highlight w:val="none"/>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42C0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250D2">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A2F3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3B4BD">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436D9">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DC708">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D0F"/>
    <w:rsid w:val="00051361"/>
    <w:rsid w:val="000D6C15"/>
    <w:rsid w:val="001668F2"/>
    <w:rsid w:val="001947EE"/>
    <w:rsid w:val="00201346"/>
    <w:rsid w:val="00262C26"/>
    <w:rsid w:val="00287377"/>
    <w:rsid w:val="002B01ED"/>
    <w:rsid w:val="002E50E4"/>
    <w:rsid w:val="002F3722"/>
    <w:rsid w:val="003046D7"/>
    <w:rsid w:val="003234BE"/>
    <w:rsid w:val="00352A1D"/>
    <w:rsid w:val="003C7E7A"/>
    <w:rsid w:val="00421894"/>
    <w:rsid w:val="00482227"/>
    <w:rsid w:val="004A347A"/>
    <w:rsid w:val="004C5D14"/>
    <w:rsid w:val="00591313"/>
    <w:rsid w:val="005D15E1"/>
    <w:rsid w:val="005D53EC"/>
    <w:rsid w:val="006B1BA6"/>
    <w:rsid w:val="00791990"/>
    <w:rsid w:val="007E4ACD"/>
    <w:rsid w:val="00877BBC"/>
    <w:rsid w:val="008937BB"/>
    <w:rsid w:val="00897E40"/>
    <w:rsid w:val="009578D6"/>
    <w:rsid w:val="009E74D0"/>
    <w:rsid w:val="00A91B27"/>
    <w:rsid w:val="00AF1E5B"/>
    <w:rsid w:val="00B16CD5"/>
    <w:rsid w:val="00B501E8"/>
    <w:rsid w:val="00B56049"/>
    <w:rsid w:val="00BB122C"/>
    <w:rsid w:val="00BD6071"/>
    <w:rsid w:val="00BE0AC4"/>
    <w:rsid w:val="00CC5968"/>
    <w:rsid w:val="00DB00BE"/>
    <w:rsid w:val="00DE7FF4"/>
    <w:rsid w:val="00DF0F88"/>
    <w:rsid w:val="00E6264C"/>
    <w:rsid w:val="00F12D0F"/>
    <w:rsid w:val="00F659DE"/>
    <w:rsid w:val="04185410"/>
    <w:rsid w:val="06A14979"/>
    <w:rsid w:val="09BA2253"/>
    <w:rsid w:val="0AA54ED3"/>
    <w:rsid w:val="0B971310"/>
    <w:rsid w:val="0BD51E39"/>
    <w:rsid w:val="0EEA5BFB"/>
    <w:rsid w:val="0EEC1973"/>
    <w:rsid w:val="11E84674"/>
    <w:rsid w:val="13675A6C"/>
    <w:rsid w:val="17E777CE"/>
    <w:rsid w:val="186D58D3"/>
    <w:rsid w:val="196842EC"/>
    <w:rsid w:val="1AC11F06"/>
    <w:rsid w:val="1DDB37DB"/>
    <w:rsid w:val="1F30765A"/>
    <w:rsid w:val="1FE50445"/>
    <w:rsid w:val="236A664B"/>
    <w:rsid w:val="266A16A4"/>
    <w:rsid w:val="285443B9"/>
    <w:rsid w:val="28650375"/>
    <w:rsid w:val="28F65471"/>
    <w:rsid w:val="2D0E1555"/>
    <w:rsid w:val="2E663DAE"/>
    <w:rsid w:val="2E71498D"/>
    <w:rsid w:val="2FD302BA"/>
    <w:rsid w:val="35551771"/>
    <w:rsid w:val="356547D3"/>
    <w:rsid w:val="35F5592B"/>
    <w:rsid w:val="37702892"/>
    <w:rsid w:val="3864621B"/>
    <w:rsid w:val="38E928FC"/>
    <w:rsid w:val="3B15666F"/>
    <w:rsid w:val="3E150163"/>
    <w:rsid w:val="3F656A54"/>
    <w:rsid w:val="40B41A41"/>
    <w:rsid w:val="46EB3CE3"/>
    <w:rsid w:val="49834DA9"/>
    <w:rsid w:val="4A6C513B"/>
    <w:rsid w:val="4A930919"/>
    <w:rsid w:val="4B0435C5"/>
    <w:rsid w:val="4C5C4B7A"/>
    <w:rsid w:val="4E710F72"/>
    <w:rsid w:val="5167665C"/>
    <w:rsid w:val="52FE4D9E"/>
    <w:rsid w:val="556C2493"/>
    <w:rsid w:val="57BB14B0"/>
    <w:rsid w:val="5E620562"/>
    <w:rsid w:val="639B1B66"/>
    <w:rsid w:val="64EE4C72"/>
    <w:rsid w:val="65E322FD"/>
    <w:rsid w:val="66153037"/>
    <w:rsid w:val="68F20AA9"/>
    <w:rsid w:val="6A3F4D93"/>
    <w:rsid w:val="6AF51A88"/>
    <w:rsid w:val="6C4E249B"/>
    <w:rsid w:val="6FEE1FCA"/>
    <w:rsid w:val="71DC4440"/>
    <w:rsid w:val="77664B3C"/>
    <w:rsid w:val="786D1EFA"/>
    <w:rsid w:val="79ED32F3"/>
    <w:rsid w:val="7BE81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6"/>
    <w:basedOn w:val="1"/>
    <w:next w:val="1"/>
    <w:semiHidden/>
    <w:unhideWhenUsed/>
    <w:qFormat/>
    <w:uiPriority w:val="9"/>
    <w:pPr>
      <w:spacing w:beforeAutospacing="1" w:afterAutospacing="1"/>
      <w:jc w:val="left"/>
      <w:outlineLvl w:val="5"/>
    </w:pPr>
    <w:rPr>
      <w:rFonts w:hint="eastAsia" w:ascii="宋体" w:hAnsi="宋体" w:eastAsia="宋体" w:cs="Times New Roman"/>
      <w:b/>
      <w:bCs/>
      <w:kern w:val="0"/>
      <w:sz w:val="15"/>
      <w:szCs w:val="15"/>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qFormat/>
    <w:uiPriority w:val="99"/>
    <w:rPr>
      <w:color w:val="0000FF"/>
      <w:u w:val="single"/>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批注框文本 Char"/>
    <w:basedOn w:val="7"/>
    <w:link w:val="3"/>
    <w:semiHidden/>
    <w:qFormat/>
    <w:uiPriority w:val="99"/>
    <w:rPr>
      <w:sz w:val="18"/>
      <w:szCs w:val="18"/>
    </w:rPr>
  </w:style>
  <w:style w:type="character" w:customStyle="1" w:styleId="12">
    <w:name w:val="font31"/>
    <w:basedOn w:val="7"/>
    <w:qFormat/>
    <w:uiPriority w:val="0"/>
    <w:rPr>
      <w:rFonts w:hint="eastAsia" w:ascii="宋体" w:hAnsi="宋体" w:eastAsia="宋体" w:cs="宋体"/>
      <w:b/>
      <w:bCs/>
      <w:color w:val="000000"/>
      <w:sz w:val="24"/>
      <w:szCs w:val="24"/>
      <w:u w:val="none"/>
    </w:rPr>
  </w:style>
  <w:style w:type="character" w:customStyle="1" w:styleId="13">
    <w:name w:val="font21"/>
    <w:basedOn w:val="7"/>
    <w:qFormat/>
    <w:uiPriority w:val="0"/>
    <w:rPr>
      <w:rFonts w:hint="eastAsia" w:ascii="宋体" w:hAnsi="宋体" w:eastAsia="宋体" w:cs="宋体"/>
      <w:color w:val="000000"/>
      <w:sz w:val="22"/>
      <w:szCs w:val="22"/>
      <w:u w:val="none"/>
    </w:rPr>
  </w:style>
  <w:style w:type="character" w:customStyle="1" w:styleId="14">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788</Words>
  <Characters>861</Characters>
  <Lines>2</Lines>
  <Paragraphs>1</Paragraphs>
  <TotalTime>0</TotalTime>
  <ScaleCrop>false</ScaleCrop>
  <LinksUpToDate>false</LinksUpToDate>
  <CharactersWithSpaces>882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2019-12-06T07:06:00Z</dcterms:created>
  <dc:creator>远 李</dc:creator>
  <cp:lastModifiedBy>吃饭不洗碗</cp:lastModifiedBy>
  <dcterms:modified xsi:type="dcterms:W3CDTF">2026-08-10T03:24:24Z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CCCF26C6205A4223B04363BA64462682_13</vt:lpwstr>
  </property>
  <property fmtid="{D5CDD505-2E9C-101B-9397-08002B2CF9AE}" pid="4" name="KSOTemplateDocerSaveRecord">
    <vt:lpwstr>eyJoZGlkIjoiZWE5ZmNmN2JkNWYzNzkwMjU5Yzg3ODVkNTM3MGNhN2UiLCJ1c2VySWQiOiIxNTU1MjUwNTExIn0=</vt:lpwstr>
  </property>
</Properties>
</file>