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C0B1CB">
      <w:pPr>
        <w:spacing w:line="520" w:lineRule="exact"/>
        <w:ind w:right="160" w:firstLine="522"/>
        <w:jc w:val="center"/>
        <w:rPr>
          <w:rFonts w:hint="eastAsia" w:ascii="仿宋_GB2312" w:eastAsia="仿宋_GB2312" w:hAnsiTheme="minorEastAsia" w:cstheme="minorEastAsia"/>
          <w:b/>
          <w:sz w:val="44"/>
          <w:szCs w:val="44"/>
          <w:lang w:val="en-US" w:eastAsia="zh-CN"/>
        </w:rPr>
      </w:pPr>
      <w:r>
        <w:rPr>
          <w:rFonts w:hint="eastAsia" w:ascii="仿宋_GB2312" w:eastAsia="仿宋_GB2312" w:hAnsiTheme="minorEastAsia" w:cstheme="minorEastAsia"/>
          <w:b/>
          <w:sz w:val="44"/>
          <w:szCs w:val="44"/>
        </w:rPr>
        <w:t>意向方承诺</w:t>
      </w:r>
      <w:r>
        <w:rPr>
          <w:rFonts w:hint="eastAsia" w:ascii="仿宋_GB2312" w:eastAsia="仿宋_GB2312" w:hAnsiTheme="minorEastAsia" w:cstheme="minorEastAsia"/>
          <w:b/>
          <w:sz w:val="44"/>
          <w:szCs w:val="44"/>
          <w:lang w:val="en-US" w:eastAsia="zh-CN"/>
        </w:rPr>
        <w:t>函</w:t>
      </w:r>
      <w:bookmarkStart w:id="0" w:name="_GoBack"/>
      <w:bookmarkEnd w:id="0"/>
    </w:p>
    <w:p w14:paraId="1566203C">
      <w:pPr>
        <w:spacing w:line="480" w:lineRule="exact"/>
        <w:rPr>
          <w:rFonts w:hint="eastAsia" w:ascii="仿宋_GB2312" w:eastAsia="仿宋_GB2312" w:hAnsiTheme="minorEastAsia" w:cstheme="minorEastAsia"/>
          <w:sz w:val="24"/>
        </w:rPr>
      </w:pPr>
    </w:p>
    <w:p w14:paraId="4BF20D37">
      <w:pPr>
        <w:spacing w:line="480" w:lineRule="exact"/>
        <w:rPr>
          <w:rFonts w:hint="eastAsia" w:ascii="仿宋_GB2312" w:eastAsia="仿宋_GB2312" w:hAnsiTheme="minorEastAsia" w:cstheme="minorEastAsia"/>
          <w:sz w:val="32"/>
          <w:szCs w:val="32"/>
        </w:rPr>
      </w:pPr>
      <w:r>
        <w:rPr>
          <w:rFonts w:hint="eastAsia" w:ascii="仿宋_GB2312" w:eastAsia="仿宋_GB2312" w:hAnsiTheme="minorEastAsia" w:cstheme="minorEastAsia"/>
          <w:sz w:val="32"/>
          <w:szCs w:val="32"/>
        </w:rPr>
        <w:t>致：广州艺术博物院（广州美术馆）、广州产权交易所有限公司：</w:t>
      </w:r>
    </w:p>
    <w:p w14:paraId="1420591B">
      <w:pPr>
        <w:spacing w:line="480" w:lineRule="exact"/>
        <w:ind w:firstLine="800" w:firstLineChars="250"/>
        <w:rPr>
          <w:rFonts w:hint="eastAsia" w:ascii="仿宋_GB2312" w:eastAsia="仿宋_GB2312" w:hAnsiTheme="minorEastAsia" w:cstheme="minorEastAsia"/>
          <w:sz w:val="32"/>
          <w:szCs w:val="32"/>
        </w:rPr>
      </w:pPr>
      <w:r>
        <w:rPr>
          <w:rFonts w:hint="eastAsia" w:ascii="仿宋_GB2312" w:eastAsia="仿宋_GB2312" w:hAnsiTheme="minorEastAsia" w:cstheme="minorEastAsia"/>
          <w:sz w:val="32"/>
          <w:szCs w:val="32"/>
        </w:rPr>
        <w:t>我单位为</w:t>
      </w:r>
      <w:r>
        <w:rPr>
          <w:rFonts w:hint="eastAsia" w:ascii="仿宋_GB2312" w:eastAsia="仿宋_GB2312" w:hAnsiTheme="minorEastAsia" w:cstheme="minorEastAsia"/>
          <w:sz w:val="32"/>
          <w:szCs w:val="32"/>
          <w:u w:val="single"/>
        </w:rPr>
        <w:t xml:space="preserve">           </w:t>
      </w:r>
      <w:r>
        <w:rPr>
          <w:rFonts w:hint="eastAsia" w:ascii="仿宋_GB2312" w:eastAsia="仿宋_GB2312" w:hAnsiTheme="minorEastAsia" w:cstheme="minorEastAsia"/>
          <w:sz w:val="32"/>
          <w:szCs w:val="32"/>
        </w:rPr>
        <w:t>，将依法参与</w:t>
      </w:r>
      <w:r>
        <w:rPr>
          <w:rFonts w:hint="eastAsia" w:ascii="仿宋_GB2312" w:eastAsia="仿宋_GB2312" w:hAnsiTheme="minorEastAsia" w:cstheme="minorEastAsia"/>
          <w:sz w:val="32"/>
          <w:szCs w:val="32"/>
          <w:u w:val="single"/>
        </w:rPr>
        <w:t xml:space="preserve">            </w:t>
      </w:r>
      <w:r>
        <w:rPr>
          <w:rFonts w:hint="eastAsia" w:ascii="仿宋_GB2312" w:eastAsia="仿宋_GB2312" w:hAnsiTheme="minorEastAsia" w:cstheme="minorEastAsia"/>
          <w:sz w:val="32"/>
          <w:szCs w:val="32"/>
        </w:rPr>
        <w:t>（交易编号为：</w:t>
      </w:r>
      <w:r>
        <w:rPr>
          <w:rFonts w:hint="eastAsia" w:ascii="仿宋_GB2312" w:eastAsia="仿宋_GB2312" w:hAnsiTheme="minorEastAsia" w:cstheme="minorEastAsia"/>
          <w:sz w:val="32"/>
          <w:szCs w:val="32"/>
          <w:u w:val="single"/>
        </w:rPr>
        <w:t xml:space="preserve">         </w:t>
      </w:r>
      <w:r>
        <w:rPr>
          <w:rFonts w:hint="eastAsia" w:ascii="仿宋_GB2312" w:eastAsia="仿宋_GB2312" w:hAnsiTheme="minorEastAsia" w:cstheme="minorEastAsia"/>
          <w:sz w:val="32"/>
          <w:szCs w:val="32"/>
        </w:rPr>
        <w:t>）项目，我方知悉并郑重承诺以下事项：</w:t>
      </w:r>
    </w:p>
    <w:p w14:paraId="0D3D023F">
      <w:pPr>
        <w:spacing w:line="480" w:lineRule="exact"/>
        <w:ind w:firstLine="800" w:firstLineChars="250"/>
        <w:rPr>
          <w:rFonts w:hint="eastAsia" w:ascii="仿宋_GB2312" w:eastAsia="仿宋_GB2312" w:hAnsiTheme="minorEastAsia" w:cstheme="minorEastAsia"/>
          <w:bCs/>
          <w:sz w:val="32"/>
          <w:szCs w:val="32"/>
          <w:lang w:bidi="en-US"/>
        </w:rPr>
      </w:pPr>
      <w:r>
        <w:rPr>
          <w:rFonts w:hint="eastAsia" w:ascii="仿宋_GB2312" w:eastAsia="仿宋_GB2312" w:hAnsiTheme="minorEastAsia" w:cstheme="minorEastAsia"/>
          <w:bCs/>
          <w:sz w:val="32"/>
          <w:szCs w:val="32"/>
          <w:lang w:bidi="en-US"/>
        </w:rPr>
        <w:t>一、我方如被确认为成交方，同意按照出租方/招商方提交的《交易合同》版本签署合同；</w:t>
      </w:r>
    </w:p>
    <w:p w14:paraId="7CE4B282">
      <w:pPr>
        <w:spacing w:line="480" w:lineRule="exact"/>
        <w:ind w:firstLine="800" w:firstLineChars="250"/>
        <w:rPr>
          <w:rFonts w:hint="eastAsia" w:ascii="仿宋_GB2312" w:eastAsia="仿宋_GB2312" w:hAnsiTheme="minorEastAsia" w:cstheme="minorEastAsia"/>
          <w:bCs/>
          <w:sz w:val="32"/>
          <w:szCs w:val="32"/>
          <w:lang w:bidi="en-US"/>
        </w:rPr>
      </w:pPr>
      <w:r>
        <w:rPr>
          <w:rFonts w:hint="eastAsia" w:ascii="仿宋_GB2312" w:eastAsia="仿宋_GB2312" w:hAnsiTheme="minorEastAsia" w:cstheme="minorEastAsia"/>
          <w:bCs/>
          <w:sz w:val="32"/>
          <w:szCs w:val="32"/>
          <w:lang w:bidi="en-US"/>
        </w:rPr>
        <w:t>二、我方将自行对交易标的进行必要和全面的独立调查和分析，不依赖于广州产权交易所和出租方/招商方提供的信息和解释，对交易标的的现状作充分了解，对交易标的成交后可能发生的费用和存在的风险进行充分评估。我方将在调查和了解交易标的后独立、自愿作出是否参与交易的决定，并自行承担所涉风险；</w:t>
      </w:r>
    </w:p>
    <w:p w14:paraId="6AF3C947">
      <w:pPr>
        <w:spacing w:line="480" w:lineRule="exact"/>
        <w:ind w:firstLine="800" w:firstLineChars="250"/>
        <w:rPr>
          <w:rFonts w:hint="eastAsia" w:ascii="仿宋_GB2312" w:eastAsia="仿宋_GB2312" w:hAnsiTheme="minorEastAsia" w:cstheme="minorEastAsia"/>
          <w:bCs/>
          <w:sz w:val="32"/>
          <w:szCs w:val="32"/>
          <w:lang w:bidi="en-US"/>
        </w:rPr>
      </w:pPr>
      <w:r>
        <w:rPr>
          <w:rFonts w:hint="eastAsia" w:ascii="仿宋_GB2312" w:eastAsia="仿宋_GB2312" w:hAnsiTheme="minorEastAsia" w:cstheme="minorEastAsia"/>
          <w:bCs/>
          <w:sz w:val="32"/>
          <w:szCs w:val="32"/>
          <w:lang w:bidi="en-US"/>
        </w:rPr>
        <w:t>三、我方知悉并接受本项目交易浮动保证金模式，愿意遵守相关约定如下：</w:t>
      </w:r>
    </w:p>
    <w:p w14:paraId="23A60CB0">
      <w:pPr>
        <w:spacing w:line="480" w:lineRule="exact"/>
        <w:ind w:firstLine="800" w:firstLineChars="250"/>
        <w:rPr>
          <w:rFonts w:hint="eastAsia" w:ascii="仿宋_GB2312" w:eastAsia="仿宋_GB2312" w:hAnsiTheme="minorEastAsia" w:cstheme="minorEastAsia"/>
          <w:bCs/>
          <w:sz w:val="32"/>
          <w:szCs w:val="32"/>
          <w:lang w:bidi="en-US"/>
        </w:rPr>
      </w:pPr>
      <w:r>
        <w:rPr>
          <w:rFonts w:hint="eastAsia" w:ascii="仿宋_GB2312" w:eastAsia="仿宋_GB2312" w:hAnsiTheme="minorEastAsia" w:cstheme="minorEastAsia"/>
          <w:bCs/>
          <w:sz w:val="32"/>
          <w:szCs w:val="32"/>
          <w:lang w:bidi="en-US"/>
        </w:rPr>
        <w:t>1.意向方参与本项目报名的，须按信息公告要求在公告期内交纳诚意金100000元（人民币十万元整）。</w:t>
      </w:r>
    </w:p>
    <w:p w14:paraId="07E0C573">
      <w:pPr>
        <w:spacing w:line="480" w:lineRule="exact"/>
        <w:ind w:firstLine="800" w:firstLineChars="250"/>
        <w:rPr>
          <w:rFonts w:hint="eastAsia" w:ascii="仿宋_GB2312" w:eastAsia="仿宋_GB2312" w:hAnsiTheme="minorEastAsia" w:cstheme="minorEastAsia"/>
          <w:bCs/>
          <w:sz w:val="32"/>
          <w:szCs w:val="32"/>
          <w:lang w:bidi="en-US"/>
        </w:rPr>
      </w:pPr>
      <w:r>
        <w:rPr>
          <w:rFonts w:hint="eastAsia" w:ascii="仿宋_GB2312" w:eastAsia="仿宋_GB2312" w:hAnsiTheme="minorEastAsia" w:cstheme="minorEastAsia"/>
          <w:bCs/>
          <w:sz w:val="32"/>
          <w:szCs w:val="32"/>
          <w:lang w:bidi="en-US"/>
        </w:rPr>
        <w:t>2.意向方资格审核通过后，其所交纳的诚意金的部分金额自动转为交易保证金。本项目交易保证金采用浮动模式，其中按阶段分为基础保证金（按挂牌月租金×3)、竞价保证金（按意向方在竞价时段的出价×3，当该保证金额高于10万元时，按10万元封顶）。</w:t>
      </w:r>
    </w:p>
    <w:p w14:paraId="5DB435C1">
      <w:pPr>
        <w:spacing w:line="480" w:lineRule="exact"/>
        <w:ind w:firstLine="800" w:firstLineChars="250"/>
        <w:rPr>
          <w:rFonts w:hint="eastAsia" w:ascii="仿宋_GB2312" w:eastAsia="仿宋_GB2312" w:hAnsiTheme="minorEastAsia" w:cstheme="minorEastAsia"/>
          <w:bCs/>
          <w:sz w:val="32"/>
          <w:szCs w:val="32"/>
          <w:lang w:bidi="en-US"/>
        </w:rPr>
      </w:pPr>
      <w:r>
        <w:rPr>
          <w:rFonts w:hint="eastAsia" w:ascii="仿宋_GB2312" w:eastAsia="仿宋_GB2312" w:hAnsiTheme="minorEastAsia" w:cstheme="minorEastAsia"/>
          <w:bCs/>
          <w:sz w:val="32"/>
          <w:szCs w:val="32"/>
          <w:lang w:bidi="en-US"/>
        </w:rPr>
        <w:t>3.意向方参与竞价环节报价的，其交易保证金由基础保证金模式自动切换为竞价保证金模式。意向方出价被确认为最高报价的，其应按本项目信息公告及交易组织要求办理交易文件（含租赁合同等）签署、相关费用交纳等。</w:t>
      </w:r>
    </w:p>
    <w:p w14:paraId="07C9380D">
      <w:pPr>
        <w:spacing w:line="480" w:lineRule="exact"/>
        <w:ind w:firstLine="800" w:firstLineChars="250"/>
        <w:rPr>
          <w:rFonts w:hint="eastAsia" w:ascii="仿宋_GB2312" w:eastAsia="仿宋_GB2312" w:hAnsiTheme="minorEastAsia" w:cstheme="minorEastAsia"/>
          <w:bCs/>
          <w:sz w:val="32"/>
          <w:szCs w:val="32"/>
          <w:lang w:bidi="en-US"/>
        </w:rPr>
      </w:pPr>
      <w:r>
        <w:rPr>
          <w:rFonts w:hint="eastAsia" w:ascii="仿宋_GB2312" w:eastAsia="仿宋_GB2312" w:hAnsiTheme="minorEastAsia" w:cstheme="minorEastAsia"/>
          <w:bCs/>
          <w:sz w:val="32"/>
          <w:szCs w:val="32"/>
          <w:lang w:bidi="en-US"/>
        </w:rPr>
        <w:t>4.成交方按约定签订交易合同、支付交易服务费后，其交纳的交易保证金余额由交易机构收到委托方同意退还交易保证金的正式通知、交易双方已签订交易合同之日起不计息原路退回。</w:t>
      </w:r>
    </w:p>
    <w:p w14:paraId="74F10B99">
      <w:pPr>
        <w:spacing w:line="480" w:lineRule="exact"/>
        <w:ind w:firstLine="800" w:firstLineChars="250"/>
        <w:rPr>
          <w:rFonts w:hint="eastAsia" w:ascii="仿宋_GB2312" w:eastAsia="仿宋_GB2312" w:hAnsiTheme="minorEastAsia" w:cstheme="minorEastAsia"/>
          <w:bCs/>
          <w:sz w:val="32"/>
          <w:szCs w:val="32"/>
          <w:lang w:bidi="en-US"/>
        </w:rPr>
      </w:pPr>
      <w:r>
        <w:rPr>
          <w:rFonts w:hint="eastAsia" w:ascii="仿宋_GB2312" w:eastAsia="仿宋_GB2312" w:hAnsiTheme="minorEastAsia" w:cstheme="minorEastAsia"/>
          <w:bCs/>
          <w:sz w:val="32"/>
          <w:szCs w:val="32"/>
          <w:lang w:bidi="en-US"/>
        </w:rPr>
        <w:t>5.若意向方的报价并非最高报价，同时该意向方未违反上述保证事项所述情形的，其交纳的交易保证金/诚意金由交易机构于交易活动结束之日起5个工作日内不计息原路径退回。</w:t>
      </w:r>
    </w:p>
    <w:p w14:paraId="30FEBC4A">
      <w:pPr>
        <w:spacing w:line="480" w:lineRule="exact"/>
        <w:ind w:firstLine="800" w:firstLineChars="250"/>
        <w:rPr>
          <w:rFonts w:hint="eastAsia" w:ascii="仿宋_GB2312" w:eastAsia="仿宋_GB2312" w:hAnsiTheme="minorEastAsia" w:cstheme="minorEastAsia"/>
          <w:bCs/>
          <w:sz w:val="32"/>
          <w:szCs w:val="32"/>
          <w:lang w:bidi="en-US"/>
        </w:rPr>
      </w:pPr>
      <w:r>
        <w:rPr>
          <w:rFonts w:hint="eastAsia" w:ascii="仿宋_GB2312" w:eastAsia="仿宋_GB2312" w:hAnsiTheme="minorEastAsia" w:cstheme="minorEastAsia"/>
          <w:bCs/>
          <w:sz w:val="32"/>
          <w:szCs w:val="32"/>
          <w:lang w:bidi="en-US"/>
        </w:rPr>
        <w:t>6.若意向方违反本项目信息公告“交易保证金保证内容”的，其交易保证金（基础保证金或竞价保证金）不予退回；在扣除该交易保证金后，如该意向方所交纳诚意金尚有余额的，余额部分由交易机构于交易活动结束之日起5个工作日内不计息原路径退回。</w:t>
      </w:r>
    </w:p>
    <w:p w14:paraId="6E836B64">
      <w:pPr>
        <w:spacing w:line="480" w:lineRule="exact"/>
        <w:ind w:firstLine="800" w:firstLineChars="250"/>
        <w:rPr>
          <w:rFonts w:hint="eastAsia" w:ascii="仿宋_GB2312" w:eastAsia="仿宋_GB2312" w:hAnsiTheme="minorEastAsia" w:cstheme="minorEastAsia"/>
          <w:bCs/>
          <w:sz w:val="32"/>
          <w:szCs w:val="32"/>
          <w:lang w:bidi="en-US"/>
        </w:rPr>
      </w:pPr>
      <w:r>
        <w:rPr>
          <w:rFonts w:hint="eastAsia" w:ascii="仿宋_GB2312" w:eastAsia="仿宋_GB2312" w:hAnsiTheme="minorEastAsia" w:cstheme="minorEastAsia"/>
          <w:bCs/>
          <w:sz w:val="32"/>
          <w:szCs w:val="32"/>
          <w:lang w:bidi="en-US"/>
        </w:rPr>
        <w:t>7.意向方参与本项目报名，即视为其已详尽阅读、充分理解并自愿接受本项目信息公告及附件（含租赁合同范本、竞价规则）的全部内容。意向方参与竞价环节的，即视为其已对标的现状（包括但不限于权属、面积、结构、瑕疵等）及本项目交易保证金设置规则完成全面了解与评估，并同意自行承担因违反交易要求、交易制度等所引致的一切经济损失与法律后果。</w:t>
      </w:r>
    </w:p>
    <w:p w14:paraId="32704402">
      <w:pPr>
        <w:spacing w:line="480" w:lineRule="exact"/>
        <w:ind w:firstLine="800" w:firstLineChars="250"/>
        <w:rPr>
          <w:rFonts w:hint="eastAsia" w:ascii="仿宋_GB2312" w:eastAsia="仿宋_GB2312" w:hAnsiTheme="minorEastAsia" w:cstheme="minorEastAsia"/>
          <w:bCs/>
          <w:sz w:val="32"/>
          <w:szCs w:val="32"/>
          <w:lang w:bidi="en-US"/>
        </w:rPr>
      </w:pPr>
    </w:p>
    <w:p w14:paraId="567D533C">
      <w:pPr>
        <w:spacing w:line="480" w:lineRule="exact"/>
        <w:ind w:firstLine="800" w:firstLineChars="250"/>
        <w:rPr>
          <w:rFonts w:hint="eastAsia" w:ascii="仿宋_GB2312" w:eastAsia="仿宋_GB2312" w:hAnsiTheme="minorEastAsia" w:cstheme="minorEastAsia"/>
          <w:bCs/>
          <w:sz w:val="32"/>
          <w:szCs w:val="32"/>
          <w:lang w:bidi="en-US"/>
        </w:rPr>
      </w:pPr>
      <w:r>
        <w:rPr>
          <w:rFonts w:hint="eastAsia" w:ascii="仿宋_GB2312" w:eastAsia="仿宋_GB2312" w:hAnsiTheme="minorEastAsia" w:cstheme="minorEastAsia"/>
          <w:bCs/>
          <w:sz w:val="32"/>
          <w:szCs w:val="32"/>
          <w:lang w:bidi="en-US"/>
        </w:rPr>
        <w:t>特此承诺。</w:t>
      </w:r>
    </w:p>
    <w:p w14:paraId="476DC3C9">
      <w:pPr>
        <w:spacing w:line="480" w:lineRule="exact"/>
        <w:ind w:right="480"/>
        <w:rPr>
          <w:rFonts w:hint="eastAsia" w:ascii="仿宋_GB2312" w:eastAsia="仿宋_GB2312" w:hAnsiTheme="minorEastAsia" w:cstheme="minorEastAsia"/>
          <w:bCs/>
          <w:sz w:val="32"/>
          <w:szCs w:val="32"/>
          <w:lang w:bidi="en-US"/>
        </w:rPr>
      </w:pPr>
    </w:p>
    <w:p w14:paraId="766E54B4">
      <w:pPr>
        <w:spacing w:line="480" w:lineRule="exact"/>
        <w:ind w:right="480" w:firstLine="640" w:firstLineChars="200"/>
        <w:rPr>
          <w:rFonts w:hint="eastAsia" w:ascii="仿宋_GB2312" w:eastAsia="仿宋_GB2312" w:hAnsiTheme="minorEastAsia" w:cstheme="minorEastAsia"/>
          <w:bCs/>
          <w:sz w:val="32"/>
          <w:szCs w:val="32"/>
          <w:lang w:bidi="en-US"/>
        </w:rPr>
      </w:pPr>
    </w:p>
    <w:p w14:paraId="7411E22A">
      <w:pPr>
        <w:spacing w:line="480" w:lineRule="exact"/>
        <w:ind w:right="480" w:firstLine="640" w:firstLineChars="200"/>
        <w:rPr>
          <w:rFonts w:hint="eastAsia" w:ascii="仿宋_GB2312" w:eastAsia="仿宋_GB2312" w:hAnsiTheme="minorEastAsia" w:cstheme="minorEastAsia"/>
          <w:sz w:val="32"/>
          <w:szCs w:val="32"/>
        </w:rPr>
      </w:pPr>
      <w:r>
        <w:rPr>
          <w:rFonts w:hint="eastAsia" w:ascii="仿宋_GB2312" w:eastAsia="仿宋_GB2312" w:hAnsiTheme="minorEastAsia" w:cstheme="minorEastAsia"/>
          <w:sz w:val="32"/>
          <w:szCs w:val="32"/>
        </w:rPr>
        <w:t>意向方：（公章）</w:t>
      </w:r>
    </w:p>
    <w:p w14:paraId="75325F80">
      <w:pPr>
        <w:spacing w:line="480" w:lineRule="exact"/>
        <w:ind w:right="1760"/>
        <w:jc w:val="center"/>
        <w:rPr>
          <w:rFonts w:hint="eastAsia" w:ascii="仿宋_GB2312" w:eastAsia="仿宋_GB2312" w:hAnsiTheme="minorEastAsia" w:cstheme="minorEastAsia"/>
          <w:sz w:val="32"/>
          <w:szCs w:val="32"/>
        </w:rPr>
      </w:pPr>
      <w:r>
        <w:rPr>
          <w:rFonts w:hint="eastAsia" w:ascii="仿宋_GB2312" w:hAnsi="宋体" w:eastAsia="仿宋_GB2312"/>
          <w:sz w:val="32"/>
          <w:szCs w:val="32"/>
        </w:rPr>
        <w:t xml:space="preserve">    法定代表人或授权代表：</w:t>
      </w:r>
      <w:r>
        <w:rPr>
          <w:rFonts w:hint="eastAsia" w:ascii="仿宋_GB2312" w:eastAsia="仿宋_GB2312" w:hAnsiTheme="minorEastAsia" w:cstheme="minorEastAsia"/>
          <w:sz w:val="32"/>
          <w:szCs w:val="32"/>
        </w:rPr>
        <w:t>（签字或盖章）</w:t>
      </w:r>
    </w:p>
    <w:p w14:paraId="526A6411">
      <w:pPr>
        <w:spacing w:line="480" w:lineRule="exact"/>
        <w:ind w:right="3320" w:firstLine="640" w:firstLineChars="200"/>
        <w:rPr>
          <w:rFonts w:hint="eastAsia" w:ascii="仿宋_GB2312" w:eastAsia="仿宋_GB2312" w:hAnsiTheme="minorEastAsia" w:cstheme="minorEastAsia"/>
          <w:sz w:val="32"/>
          <w:szCs w:val="32"/>
        </w:rPr>
      </w:pPr>
      <w:r>
        <w:rPr>
          <w:rFonts w:hint="eastAsia" w:ascii="仿宋_GB2312" w:eastAsia="仿宋_GB2312" w:hAnsiTheme="minorEastAsia" w:cstheme="minorEastAsia"/>
          <w:sz w:val="32"/>
          <w:szCs w:val="32"/>
        </w:rPr>
        <w:t>日期：2026年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0BC"/>
    <w:rsid w:val="00092A24"/>
    <w:rsid w:val="000F4AE6"/>
    <w:rsid w:val="0015182D"/>
    <w:rsid w:val="00195EE7"/>
    <w:rsid w:val="001C4944"/>
    <w:rsid w:val="001D25F1"/>
    <w:rsid w:val="001E262B"/>
    <w:rsid w:val="001F308E"/>
    <w:rsid w:val="00200B00"/>
    <w:rsid w:val="00202084"/>
    <w:rsid w:val="00224496"/>
    <w:rsid w:val="002412EE"/>
    <w:rsid w:val="00264C3C"/>
    <w:rsid w:val="002B2E0E"/>
    <w:rsid w:val="002D3300"/>
    <w:rsid w:val="002E5B83"/>
    <w:rsid w:val="00395F43"/>
    <w:rsid w:val="00400B3E"/>
    <w:rsid w:val="004415E6"/>
    <w:rsid w:val="004925A9"/>
    <w:rsid w:val="004B5260"/>
    <w:rsid w:val="00551E3E"/>
    <w:rsid w:val="00583AC4"/>
    <w:rsid w:val="005D5284"/>
    <w:rsid w:val="005D6D42"/>
    <w:rsid w:val="006A1658"/>
    <w:rsid w:val="00704203"/>
    <w:rsid w:val="0070420B"/>
    <w:rsid w:val="007D40B0"/>
    <w:rsid w:val="008A273C"/>
    <w:rsid w:val="008B527F"/>
    <w:rsid w:val="008F15F4"/>
    <w:rsid w:val="0091196D"/>
    <w:rsid w:val="00922ABA"/>
    <w:rsid w:val="009D4710"/>
    <w:rsid w:val="009E5D12"/>
    <w:rsid w:val="00A1058F"/>
    <w:rsid w:val="00A66178"/>
    <w:rsid w:val="00B209E9"/>
    <w:rsid w:val="00B370BC"/>
    <w:rsid w:val="00B95CCD"/>
    <w:rsid w:val="00C5733D"/>
    <w:rsid w:val="00CA55F7"/>
    <w:rsid w:val="00CC273D"/>
    <w:rsid w:val="00D02194"/>
    <w:rsid w:val="00D446B9"/>
    <w:rsid w:val="00D50F09"/>
    <w:rsid w:val="00E03F03"/>
    <w:rsid w:val="00E45A7E"/>
    <w:rsid w:val="00E565D1"/>
    <w:rsid w:val="00E72718"/>
    <w:rsid w:val="00E8562C"/>
    <w:rsid w:val="00EE2751"/>
    <w:rsid w:val="00F24952"/>
    <w:rsid w:val="00F80FE8"/>
    <w:rsid w:val="00F83B63"/>
    <w:rsid w:val="00F964F3"/>
    <w:rsid w:val="00FD0761"/>
    <w:rsid w:val="140A3FE0"/>
    <w:rsid w:val="20D92898"/>
    <w:rsid w:val="23FE6783"/>
    <w:rsid w:val="2C6A474B"/>
    <w:rsid w:val="303B53FB"/>
    <w:rsid w:val="30D53BBD"/>
    <w:rsid w:val="380D1E8F"/>
    <w:rsid w:val="3DCA75E5"/>
    <w:rsid w:val="40AD420F"/>
    <w:rsid w:val="4F077CD3"/>
    <w:rsid w:val="56F350EA"/>
    <w:rsid w:val="5E145476"/>
    <w:rsid w:val="619156B9"/>
    <w:rsid w:val="70B45447"/>
    <w:rsid w:val="7B617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Autospacing="1" w:afterAutospacing="1"/>
      <w:jc w:val="left"/>
    </w:pPr>
    <w:rPr>
      <w:kern w:val="0"/>
      <w:sz w:val="24"/>
    </w:rPr>
  </w:style>
  <w:style w:type="character" w:customStyle="1" w:styleId="7">
    <w:name w:val="页眉 字符"/>
    <w:basedOn w:val="6"/>
    <w:link w:val="3"/>
    <w:qFormat/>
    <w:uiPriority w:val="99"/>
    <w:rPr>
      <w:rFonts w:ascii="Times New Roman" w:hAnsi="Times New Roman" w:eastAsia="宋体" w:cs="Times New Roman"/>
      <w:sz w:val="18"/>
      <w:szCs w:val="18"/>
    </w:rPr>
  </w:style>
  <w:style w:type="character" w:customStyle="1" w:styleId="8">
    <w:name w:val="页脚 字符"/>
    <w:basedOn w:val="6"/>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1009</Words>
  <Characters>1027</Characters>
  <Lines>23</Lines>
  <Paragraphs>17</Paragraphs>
  <TotalTime>11</TotalTime>
  <ScaleCrop>false</ScaleCrop>
  <LinksUpToDate>false</LinksUpToDate>
  <CharactersWithSpaces>1071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2021-07-08T01:57:00Z</dcterms:created>
  <dc:creator>FangZiTing</dc:creator>
  <cp:lastModifiedBy>郭建忠</cp:lastModifiedBy>
  <dcterms:modified xsi:type="dcterms:W3CDTF">2026-08-04T08:40:34Z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eyJoZGlkIjoiZGFlYTYwNDg2ZjVkMWQ1NmU1MDQ5MDY5YTgyZGQ3NTkiLCJ1c2VySWQiOiIxNzQ4MDY4MTU5In0=</vt:lpwstr>
  </property>
  <property fmtid="{D5CDD505-2E9C-101B-9397-08002B2CF9AE}" pid="3" name="KSOProductBuildVer">
    <vt:lpwstr>2052-12.1.0.26895</vt:lpwstr>
  </property>
  <property fmtid="{D5CDD505-2E9C-101B-9397-08002B2CF9AE}" pid="4" name="ICV">
    <vt:lpwstr>7A93A5C781964C36B24ADF0E997C0E6C_13</vt:lpwstr>
  </property>
</Properties>
</file>