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安全生产管理协议书</w:t>
      </w:r>
    </w:p>
    <w:p>
      <w:pPr>
        <w:rPr>
          <w:rFonts w:ascii="仿宋_GB2312" w:hAnsi="仿宋_GB2312" w:eastAsia="仿宋_GB2312" w:cs="仿宋_GB2312"/>
          <w:szCs w:val="21"/>
        </w:rPr>
      </w:pPr>
    </w:p>
    <w:p>
      <w:pP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甲</w:t>
      </w:r>
      <w:r>
        <w:rPr>
          <w:rFonts w:hint="eastAsia" w:ascii="仿宋_GB2312" w:hAnsi="仿宋_GB2312" w:eastAsia="仿宋_GB2312" w:cs="仿宋_GB2312"/>
          <w:color w:val="000000" w:themeColor="text1"/>
          <w:sz w:val="32"/>
          <w:szCs w:val="32"/>
          <w14:textFill>
            <w14:solidFill>
              <w14:schemeClr w14:val="tx1"/>
            </w14:solidFill>
          </w14:textFill>
        </w:rPr>
        <w:t>方（出租人):</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佛山建发智慧城市科技有限公司</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地址:</w:t>
      </w:r>
      <w:r>
        <w:rPr>
          <w:rFonts w:hint="eastAsia" w:ascii="仿宋_GB2312" w:hAnsi="仿宋_GB2312" w:eastAsia="仿宋_GB2312" w:cs="仿宋_GB2312"/>
          <w:color w:val="000000" w:themeColor="text1"/>
          <w:sz w:val="32"/>
          <w:szCs w:val="32"/>
          <w:u w:val="single"/>
          <w14:textFill>
            <w14:solidFill>
              <w14:schemeClr w14:val="tx1"/>
            </w14:solidFill>
          </w14:textFill>
        </w:rPr>
        <w:t>佛山市禅城区石湾镇街道影荫路6号汇通大厦四楼402室(住所申报)</w:t>
      </w:r>
      <w:bookmarkStart w:id="0" w:name="_GoBack"/>
      <w:bookmarkEnd w:id="0"/>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联系电话:</w:t>
      </w:r>
      <w:r>
        <w:rPr>
          <w:rFonts w:hint="eastAsia" w:ascii="仿宋_GB2312" w:hAnsi="仿宋_GB2312" w:eastAsia="仿宋_GB2312" w:cs="仿宋_GB2312"/>
          <w:color w:val="000000" w:themeColor="text1"/>
          <w:sz w:val="32"/>
          <w:szCs w:val="32"/>
          <w:u w:val="single"/>
          <w14:textFill>
            <w14:solidFill>
              <w14:schemeClr w14:val="tx1"/>
            </w14:solidFill>
          </w14:textFill>
        </w:rPr>
        <w:t>0757-</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63503823</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rPr>
          <w:rFonts w:ascii="仿宋_GB2312" w:hAnsi="仿宋_GB2312" w:eastAsia="仿宋_GB2312" w:cs="仿宋_GB2312"/>
          <w:color w:val="000000" w:themeColor="text1"/>
          <w:sz w:val="32"/>
          <w:szCs w:val="32"/>
          <w14:textFill>
            <w14:solidFill>
              <w14:schemeClr w14:val="tx1"/>
            </w14:solidFill>
          </w14:textFill>
        </w:rPr>
      </w:pPr>
    </w:p>
    <w:p>
      <w:pPr>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乙方（承租人):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地址:</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联系电话:</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pPr>
        <w:ind w:firstLine="640"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为认真贯彻落实《中华人民共和国安全生产法》和《中华人民共和国消防法》等法律法规，坚持“安全第一、预防为主”的方针，依照“谁使用，谁负责”的管理原则，保障甲、乙双方的合法权益，明确甲、乙双方的安全管理责任，经协商一致，特制定如下安全管理协议，以资双方共同遵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根据“谁使用、谁负责”的安全责任原则，乙方在使用租赁的物业期间全权负责承租的土地及房屋建筑物等物业空间范围内的人、财、物的安全责任。</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本协议依据的法律法规如下:</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（一）《中华人民共和国安全生产法》</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（二）《中华人民共和国消防法》</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（三）《中华人民共和国民法典》</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（四）《中华人民共和国职业病防治法》</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（五）《中华人民共和国环境保护法》</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（六）《广东省安全生产条例》</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（七）其它相关法律法规、国家标准或行业标准，以及地方政府有关规定。</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按照上述法律、法规、标准及规定，为了加强租赁物业安全生产管理工作，落实安全责任主体，防止和减少事故发生，保障甲乙双方人身及财产安全，共建安全文明的经营环境，甲乙双方经友好协商，共同签署本协议书，以兹共同遵照执行。</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第一条  协议适用范围</w:t>
      </w:r>
    </w:p>
    <w:p>
      <w:pPr>
        <w:ind w:firstLine="640" w:firstLineChars="200"/>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本协议适用范围为甲乙双方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日签订的《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》（下称：租赁合同）所约定的位于</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的出租物业，物业名称为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，建筑面积</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平方米。</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第二条  协议期限</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本协议自</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日起至</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日止(与租赁合同期限一致)，</w:t>
      </w:r>
      <w:r>
        <w:rPr>
          <w:rFonts w:hint="eastAsia" w:ascii="仿宋_GB2312" w:hAnsi="仿宋_GB2312" w:eastAsia="仿宋_GB2312" w:cs="仿宋_GB2312"/>
          <w:color w:val="000000" w:themeColor="text1"/>
          <w:sz w:val="32"/>
          <w:szCs w:val="32"/>
          <w:highlight w:val="none"/>
          <w14:textFill>
            <w14:solidFill>
              <w14:schemeClr w14:val="tx1"/>
            </w14:solidFill>
          </w14:textFill>
        </w:rPr>
        <w:t>若租赁期限到期后，乙方未搬离租赁物业的，乙方仍需按本协议约定承担一切安全责任。</w:t>
      </w:r>
    </w:p>
    <w:p>
      <w:pPr>
        <w:ind w:left="638" w:leftChars="304"/>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第三条  租赁限制与安全使用条件</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租赁物业只能用作依法生产经营用途，不得从事租赁合同约定的使用范围以外的活动。租赁期间，乙方如因使用情况需要改变用途，应以不损坏原租赁物业结构为前提，事前以书面形式向甲方提出，经甲方书面同意后方能施工。</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（二）甲方以物业现状作为出租和交付的条件，乙方完全接受且不存在任何异议。</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（三）乙方如需进行合理的装修，需经甲方书面同意。合同终止、或提前终止后，乙方对租赁物业所投入的装修归甲方所有，租赁合同另有约定的除外。</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（四）乙方不得私自在租赁物业擅自引入、存放及生产以下物品：</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（1）危险品（包括：易燃、易爆、腐蚀、有毒、有害的物品）；</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（2）容易造成环境污染的物品；</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（3）一切违禁物品。</w:t>
      </w:r>
    </w:p>
    <w:p>
      <w:pPr>
        <w:ind w:firstLine="640" w:firstLineChars="200"/>
        <w:rPr>
          <w:rFonts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（五）甲方签订本协议前必须严格核实乙方生产经营资质（如签订协议时乙方尚未取得经营资质，乙方应在取得经营资质后5个工作日内，提交甲方查验)，乙方承诺只将承租物业用于</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pP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用途。</w:t>
      </w:r>
    </w:p>
    <w:p>
      <w:pPr>
        <w:ind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如乙方因经营需要，经国家相关部门的批准及甲方的书面同意，乙方可以使用和贮存危险物品，但应符合国家标准和国家有关规定，并有健全的安全生产管理制度，并将有关批文（证照）原件向甲方出示，并在复印件上加盖公章向甲方报备存档。</w:t>
      </w:r>
    </w:p>
    <w:p>
      <w:pPr>
        <w:ind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乙方经营中如需使用电梯、吊车、修车专用设备等特种设备的，应严格贯彻执行国家及有关部门关于特种设备安全的法律、法规和安全技术规范、规程等，建立特种设备管理制度，根据安全生产责任制，做好特种设备安全工作，加强对特种设备、特种作业人员的管理、登记存档工作，并定期组织岗位技能培训，防范安全隐患，并做好定期年审工作，将有效的年审报告复印件（加盖公章）向甲方报备存档。</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第四条  乙方安全生产责任人</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乙方对承租范围内租赁物业的一切安全责任负责。乙方的法定代表人或主要经营管理者是安全生产第一责任人。乙方应当为从业人员提供符合安全生产要求的劳动保护用品与职业病防治管理等工作。</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第五条  甲方的权利</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甲方有按照法规要求的统一协调管理和督促检查权利，在执行该项权责时，甲方拥有但不限于以下权利:</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（一）有权进入乙方生产作业场所检查安全生产工作，调阅安全生产相关资料台账。</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乙方如存在安全隐患或者超范围经营、违章作业、冒险作业等安全生产违法行为，甲方有权要求乙方当场纠正或者限期整改；在乙方排除安全隐患或者纠正违法行为过程中，甲方认为无法保证安全的，有权要求乙方从危险区域内撤出作业人员，或者责成乙方暂时停产、停业、停止使用。</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乙方在无正当的理由情况下不能按甲方要求完成整改，或存在严重安全隐患或者超范围经营、违章作业、冒险作业等安全生产违法行为，拒不整改的，为防止发生安全事故，或者已经发生事故为避免产生进一步危害，甲方有权采取以下措施，因此所引起的一切后果均由乙方承担。</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1、向当地公安、消防、安监、市监、环保、街道办等政府主管部门举报;</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2、对乙方承租物业采取停水、停电等措施以强制停止乙方危险使用物业的活动；</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3、单方终止物业租赁合同或按本协议规定要求乙方承担相应的违约金。</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（四）职业健康、环保安全管理的权利事项：</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甲方应在物业出租时向乙方进行职业病危害告知，提出职业病防治管理要求，并对乙方实施情况进行监督检查。有权进入乙方生产作业场所检查环境/职业健康安全生产工作、调阅有关资料，向有关单位和人员了解情况。</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2、甲方有权对检查中发现的污染环境、职业健康管理、违章、冒险作业等安全生产违法行为，及时提出整改意见，督促乙方进行整改。</w:t>
      </w:r>
      <w:r>
        <w:rPr>
          <w:rFonts w:hint="eastAsia" w:ascii="仿宋_GB2312" w:hAnsi="仿宋_GB2312" w:eastAsia="仿宋_GB2312" w:cs="仿宋_GB2312"/>
          <w:color w:val="000000" w:themeColor="text1"/>
          <w:sz w:val="32"/>
          <w:szCs w:val="32"/>
          <w14:textFill>
            <w14:solidFill>
              <w14:schemeClr w14:val="tx1"/>
            </w14:solidFill>
          </w14:textFill>
        </w:rPr>
        <w:br w:type="textWrapping"/>
      </w:r>
      <w:r>
        <w:rPr>
          <w:rFonts w:hint="eastAsia" w:ascii="仿宋_GB2312" w:hAnsi="仿宋_GB2312" w:eastAsia="仿宋_GB2312" w:cs="仿宋_GB2312"/>
          <w:color w:val="000000" w:themeColor="text1"/>
          <w:sz w:val="32"/>
          <w:szCs w:val="32"/>
          <w14:textFill>
            <w14:solidFill>
              <w14:schemeClr w14:val="tx1"/>
            </w14:solidFill>
          </w14:textFill>
        </w:rPr>
        <w:t xml:space="preserve">    3、甲方有权对检查中发现的安全隐患，责令乙方立即排除或者对乙方下达整改意见。</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4、有权对乙方在甲方管理范围的访问、交流活动中可能会对甲方产生环境/职业健康安全影响的行为进行监督。</w:t>
      </w:r>
    </w:p>
    <w:p>
      <w:pPr>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第六条  甲方的责任与义务</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（一）自有或代管的同一出租物业内有多个承租人的，按照《中华人民共和国安全生产法》有关规定，对乙方及相关方安全生产工作进行统一协调管理，定期进行安全检查，发现安全问题的，应当及时督促整改。</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在安全检查中发现的问题及整改意见，或当地公安、消防、安监、市监、环保、卫生监督、街道办等政府主管部门有关安全生产的要求，及时以安全隐患整改通知书的书面形式通知乙方，督促乙方实施整改。</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第七条  乙方的权利</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有权依法自主进行安全生产管理工作。</w:t>
      </w:r>
    </w:p>
    <w:p>
      <w:pPr>
        <w:ind w:left="2" w:right="-153" w:rightChars="-73" w:firstLine="643" w:firstLineChars="200"/>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 xml:space="preserve">第八条  </w:t>
      </w:r>
      <w:r>
        <w:rPr>
          <w:rFonts w:hint="eastAsia" w:ascii="仿宋_GB2312" w:hAnsi="仿宋_GB2312" w:eastAsia="仿宋_GB2312" w:cs="仿宋_GB2312"/>
          <w:b/>
          <w:color w:val="000000" w:themeColor="text1"/>
          <w:sz w:val="32"/>
          <w:szCs w:val="32"/>
          <w14:textFill>
            <w14:solidFill>
              <w14:schemeClr w14:val="tx1"/>
            </w14:solidFill>
          </w14:textFill>
        </w:rPr>
        <w:t>乙方安全生产目标</w:t>
      </w:r>
    </w:p>
    <w:p>
      <w:pPr>
        <w:ind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1、死亡事故为零。</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2、人身伤害事故为零。</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3、火灾事故为零。</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4、重大设备设施事故为零。</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5、重大质量事故为零</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6、食品安全事故为零。</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7、杜绝“三合一”隐患。</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第九条  乙方的责任与义务</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乙方应具备《安全生产法》和国家有关法律法规、国家标准或者行业标准与法规，以及地方政府规定的安全生产条件和相应资质，承担安全生产(包括消防安全管理)主体责任，不具备安全生产条件的，应停产停业整顿。</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（二）乙方主要负责人对本单位安全生产工作应当履行《中华人民共和国安全生产法》第十八条规定的下列职责:</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1、建立，健全本单位安全生产责任制；</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2、组织制定本单位安全生产规章制度和操作规程；</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3、组织制定并实施本单位安全生产教育和培训计划;</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4、保证本单位安全生产投入的有效实施;</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5、督促、检查本单位安全生产工作，及时消除生产安全事故隐患；</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6、组织制定并实施本单位的生产安全事故应急救援预案;</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7、及时、如实向政府有关部门及甲方报告生产安全事故。</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（三）乙方应当建立健全生产安全事故隐患排查治理制度，采取技术，管理措施，及时发现并消除事故隐患。事故隐患排查治理情况应当如实记录，并向从业人员通报。</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（四）乙方应指定人员作为本企业（单位）的主要安全负责人和安全管理员，且必须持证上岗；企业规模达到相关法规要求的，应设置符合要求的安全管理机构。</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乙方应当保证安全生产所必需的资金投入，包括用于建设项目安全设置、消除安全隐患、治理有害作业环境、配备劳动防护用品、进行安全生产培训等方面用途，并对因安全生产资金投入不足导致的后果承担全部法律和经济责任。</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乙方应对所承租物业（包括物业内附设的设备、设施）进行定期维护保养，若因维护保养不及时，使用不当，管理不到位等原因造成不良后果，相关责任由乙方自行承担；乙方开展经营活动或对承租物业进行改造(改建或扩建)、装修、修繕，在改建时严禁未经甲方书面同意私自乱接电线，私自改造水管、不得擅自改变、破坏原建筑承重构件；不得擅自减少安全出口数量和总宽度；不得封堵逃生窗；不得违规搭建等。</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按有关规定须取得规划、建设、施工等批文的，乙方应在施工前取得相应批文；按照有关规定应取得消防验收或备案手续的，乙方必须在(试)营业、使用前取得相应批文，并将相关报备回执、验收合格证与关于消防验收等消防资料复印（加盖公章）甲方存档。</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租赁物业只能由乙方使用，未经甲方书面同意，不能擅自转租、转借或转让他人；如果乙方未经甲方书面同意，而擅自转租、转借或转让给他人，由此产生的安全责任由乙方自行承担。此外，如果甲方经书面同意乙方对承租物业进行转租、转借或转让给他人的，乙方应与次承租人签订安全生产管理协议，落实各自的安全生产责任。有关安全生产管理协议，应在签订后5个工作日内送交甲方备案。</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（八）经甲方同意，乙方对承租物业进行下列活动，应当满足相应安全生产要求:</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1、对承租物业进行装修或修缮的，应确保工程符合国家建筑安全法律法规和行业标准，不得损害建筑主体结构安全，建筑构件.建筑材料和室内装修、装饰材料的防火性能必须符合国家和行业标准。</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2.在承租物业内进行临时搭建工程的，不得占用物业防火间距、消防通道、消防车作业场地，不得设置影响消防扑救或遮挡排烟窗(口)的架空管线，广告牌等障碍物。</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临时占用、挖掘承租物业内道路、场地的，应在约定期限内恢复原状，并对施工过程、现场防护、材料堆放等安全生产工作承担全部管理责任；因维修物业或者公共利益，甲方需临时占用、挖掘乙方承租区域道路、场地的，乙方应无条件配合。</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（九）乙方在承租物业期间，不得有下列违反安全生产要求的情况，否则视为乙方违约，甲方有权采取停水、停电、等限期整改措施或扣除相应违约金，情节严重的可单方终止租赁合同的权利：</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1、将作业场所、仓库与员工宿舍安排在同一座建筑物内，且安全距离不足，存在“二合一”或“三合一”(指住宿与生产、仓储、经营在同一空间内)现象；</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2、在物业内放置超过设计荷载的物品或者进行其他影响物业结构安全的活动;</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3.不按规定设置应急照明装置和安全出口标志，封闭、堵塞租赁物业安全出口及疏散逃生楼梯;</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4、不按规定健全完善物业消防设施设备以及维护其正常使用，未按期检测、维护保养并作好记录，未配备足够的消防器材；</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5、不按规定健全完善物业电气设施设备以及维护其正常使用，超负荷使用大功率电器与其他国家明令淘汰的产品;</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6.违法违规在物业内生产、储存、使用、经营危险化学品;</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7、安装、使用无生产合格证或者未经有关部门检验检测的特种设备；所使用的特种设备需按规定进行定期检测和维护保养；安排未经安全生产教育、培训并取得相应资格证书的从业人员进行特种作业；</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8、不得在生产经营场所违规动用明火，不得在生产经营场所及其他禁烟场所吸烟；</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9、不得在承租物业室内（包括楼梯间、走道等）停放及充电自行车、电瓶车等;</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10、不得擅自改变承租物业用途;</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11、安全检查、安全生产条件审核中现场发现有违章指挥、违章作业、违反劳动纪律的行为;</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12、违反安全生产法律法规的其它行为。</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（十）乙方若因本身的疏忽导致水、气、烟或其他有关物体外溢，损害他人或其财产，则乙方须承担因此而产生的所有诉讼、索赔和要求等后果，由此造成甲方损失的，应对甲方承担赔偿责任。</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一）乙方经营中如需使用汽油、酒精、氧气瓶、乙炔罐等易燃易爆物品的，应建立易燃易爆物品管理制度，易燃易爆物品贮存使用要符合消防要求，并有专用储存仓库或设施进行存储。贮存区要设置明确的标识，严禁一切烟火，并配足灭火器。</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（十二）乙方发生安全事故，必须如实向甲方或有关安监部门报告相关情况，接受安全生产上级行政主管部门的检查、监督与指导，切实做好安全生产工作，杜绝事故发生。</w:t>
      </w:r>
    </w:p>
    <w:p>
      <w:pPr>
        <w:ind w:left="2" w:right="-153" w:rightChars="-73"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（十三）乙方应按甲方要求参与安全生产事故的应急处理与救援预案并定期演练。</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四）乙方应按照国家相关法律法规、国家标准或者行业标准以及地方政府有关规定做好安全生产管理工作，自觉接受并积极配合甲方以及政府有关职能部门进行安全生产监督检查，不得以任何理由拒绝，阻挠，并在租赁期间，乙方保证甲方及租赁物业的物业管理公司安全管理人员可进入租赁物业检查安全生产情况及安全设施，调阅有关资料，向乙方和乙方人员了解情况，有权对检查中发现的事故隐患，有权责令乙方立即排除或者对乙方下达安全隐患整改通知书，乙方必须在规定期限内整改完成。</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五）乙方应当教育和督促从业人员严格执行本单位的安会生产规章制度和安全操作规程，向新上岗或工种转换的从业人员如实告知作业场所和工作岗位存在的危险因素、可能产生的职业病危害及其后果，并组织进行相应的宣传、教育、培训和应急演练，并记录归档。</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（十六）乙方应按照国家法律法规及地方政府有关规定，及时向甲方提供有关安全生产数据、资料，并保证其真实可靠。</w:t>
      </w:r>
    </w:p>
    <w:p>
      <w:pPr>
        <w:widowControl/>
        <w:wordWrap w:val="0"/>
        <w:spacing w:before="45"/>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（十七）乙方应加强对到访的外来人员、外来施工单位的管理。如在发生突发（危急）事故有义务全力抢险救灾，并立即拨打相关求救电话（“110”报警电话、“119”火警电话、有人员伤亡拨打“120”</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医疗救护电话</w:t>
      </w:r>
      <w:r>
        <w:rPr>
          <w:rFonts w:hint="eastAsia" w:ascii="仿宋_GB2312" w:hAnsi="仿宋_GB2312" w:eastAsia="仿宋_GB2312" w:cs="仿宋_GB2312"/>
          <w:color w:val="000000" w:themeColor="text1"/>
          <w:sz w:val="32"/>
          <w:szCs w:val="32"/>
          <w14:textFill>
            <w14:solidFill>
              <w14:schemeClr w14:val="tx1"/>
            </w14:solidFill>
          </w14:textFill>
        </w:rPr>
        <w:t>），在以上拨打求救电话的同时也需及时与甲方安管人员进行汇报现场实时情况。</w:t>
      </w:r>
    </w:p>
    <w:p>
      <w:pPr>
        <w:widowControl/>
        <w:wordWrap w:val="0"/>
        <w:spacing w:before="45"/>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八）乙方负责对承租范围内的消防设备设施（包括但不限于消防火栓、灭火器、应急照明、安全出口指示灯与警示标志标识、自动喷淋、火灾探测报警器、各类监测仪器等）的检查、维护保养，并做好记录台帐。</w:t>
      </w:r>
    </w:p>
    <w:p>
      <w:pPr>
        <w:widowControl/>
        <w:wordWrap w:val="0"/>
        <w:spacing w:before="45"/>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（十九）乙方若涉及特种作业，应加强特种作业人员安全管理，不得无证上岗、无证操作。</w:t>
      </w:r>
    </w:p>
    <w:p>
      <w:pPr>
        <w:widowControl/>
        <w:wordWrap w:val="0"/>
        <w:spacing w:before="45"/>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（二十）乙方若涉及危险作业，应严格按危险作业相关规范，落实安全防护措施，确保作业安全。</w:t>
      </w:r>
    </w:p>
    <w:p>
      <w:pPr>
        <w:widowControl/>
        <w:wordWrap w:val="0"/>
        <w:spacing w:before="45"/>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（二十一）乙方作为甲方物业的承租使用方，在甲方物业相邻方发生安全生产事故、突发公众事件、自然灾害事故及预警事件时，应及时告知甲方并积极协助应急处置。</w:t>
      </w:r>
    </w:p>
    <w:p>
      <w:pPr>
        <w:widowControl/>
        <w:wordWrap w:val="0"/>
        <w:spacing w:before="45"/>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（二十二）在合同期满或中止，不再续签时，迁移设备、需恢复物业原有结构（甲方书面同意无需恢复的除外），保证物业安全，并通过甲方的验收。</w:t>
      </w:r>
    </w:p>
    <w:p>
      <w:pPr>
        <w:widowControl/>
        <w:wordWrap w:val="0"/>
        <w:spacing w:before="45"/>
        <w:ind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（二十三）职业健康、环保安全管理：</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乙方应认真贯彻落实《中华人民共和国职业病防治法》及有关法律法规、属地卫生局监督所的相关要求。乙方如违反职业病防治法律法规和甲方的质量/环境/职业健康安全管理体系要求，受到属地卫生局监督所处罚时，承担全部责任及承担所需费用。</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2.乙方应按照相关法律、法规、规定，对本项目环境/职业健康安全生产进行管理，并承担责任。不得野蛮作业、不得扰民、不得违章指挥和违章作业。</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3.乙方应为作业人员配置有效的职业病防护设施，为作业人员提供职业病防护用品，防护用品应符合国家标准，并要求其正确使用。</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4.乙方对租赁场所进行装修/改造等，应采用合格的符合环保规定的建筑材料，并应当在施工现场设置职业病危害警示标识及说明。</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5.乙方有权依法自主行使环境/职业健康安全管理。有权要求甲方统一协调涉及双方的重大环境/职业健康安全生产问题。</w:t>
      </w:r>
    </w:p>
    <w:p>
      <w:pPr>
        <w:ind w:firstLine="640" w:firstLineChars="200"/>
        <w:rPr>
          <w:rFonts w:ascii="仿宋_GB2312" w:hAnsi="仿宋_GB2312" w:eastAsia="仿宋_GB2312" w:cs="仿宋_GB2312"/>
          <w:color w:val="000000" w:themeColor="text1"/>
          <w:spacing w:val="-4"/>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6.有权要求甲方告知重大环境因素及风险因素。</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（二十四）法律法规规定的其他责任和义务。</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第十条  安全生产担保</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（一）风险担保</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如乙方从事的生产经营活动存在安全风险点危险源，应在签订本协议的同时向甲方提供风险担保，承诺一旦发生事故而造成的一切损失均由乙方承担。为保障乙方财产权益，鼓励乙方投保安全生产责任保险。</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如事故发生在公用场地（包括通道），由引致事故的一方承担责任。</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（二）罚款承担</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如因乙方责任造成的安全事故或其他安全生产违法行为导致被政府或行政主管部门罚款，均由乙方承担。如乙方不直接支付罚款，甲方可从乙方交纳的租赁保证金中扣除，不足部分可继续从乙方提供的风险担保中支付，或通过法律渠道等其他方式向乙方追索。如因乙方责任造成的安全事故或其他安全生产违法行为导致甲方被政府或行政主管部门罚款的，由乙方赔偿甲方的相应损失或甲方有权在乙方的租赁保证金中直接予以相应扣除。</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第十一条  安全生产事项违约</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乙方如违反以下规定，甲方有权选择凭甲方安全检查记录直接要求乙方支付相应的违约金或采取其他措施(包括但不限于有权单方面解除租赁合同并没收租赁保证金等)，造成所有后果和责任由乙方自行承担：</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1、对违反本协议相关约定而引发安全事故的，除相关部门依法追究责任外，甲方将根据损失情况追究乙方的赔偿责任。</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2、乙方未按规定指定安全生产负责人和安全管理人或上述人员未持证上岗；企业规模达到相关法规要求应设置安全管理机构未设置，经甲方指出后，逾期未整改的，甲方有权单方面解除租赁合同。</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乙方未按法规或行业标准制定相应的安全管理制度(包括但不限于安全生产责任制﹑安全生产投入、隐患排查与治理、安全教育培训、职业健康管理、环境管理、事故应急预案等）或操作规程的，甲方有权要求乙方支付违约金200元。</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4、乙方未及时（发生安全事故十分钟内)、如实向甲方报告所承租物业范围内发生的安全事故和政府相关部门的有关执法情况的，甲方有权直接要求乙方支付违约金500元。</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乙方违反本协议第九条第六款有关约定，在进行承租物业改造﹑装修﹑修缮时未向甲方申请并同意，擅自动工；或经甲方同意，但未到相关部门报备擅自动工的，甲方有权直接要求乙方支付违约金200元；若乙方擅自改动原建筑的承重构件、减少安全出口和总宽度或封堵逃生窗，甲方有权要求限期整改恢复原样并要求乙方支付违约金300元；若乙方在承租物业范围内违规搭建，甲方有权依职责拆除或报相关政府部门并要求乙方支付违约金500元。对造成的相关损失由乙方自行承担,如对甲方造成任何负面影响或损失，甲方保留追究的权利。</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乙方违反本协议第九条第九款、第十八款、第十九款、二十款有关约定的任一情节,经甲方检查发现将下发安全隐患整改通知单，并责令整改，如在甲方复检发现未能整改完成的，甲方有权要求乙方支付违约金100元；情节严重甲方有关向政府相关部门举报并要求乙方支付违约金500元，对造成的相关损失由乙方自行承担,造成甲方负面影响或损失，甲方保留追究的权利。乙方违反相关约定，经甲方提出整改要求，乙方拒绝整改或整改不合格，同一违约行为达三次或三次以上，甲方有权单方终止租赁合同，一切责任由乙方承担。</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乙方因不履行或不完全、不正确履行协议约定的安全生产管理责任，导致发生生产安全事故，除由司法机关依法追究法律责任外，事故责任方还应向对方赔偿事故造成的经济损失。</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第十二条  争议的解决</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本协议履行过程中所发生的争议，甲乙双方应协商解决；协商不成的，可请求租赁物业所在地公安、消防、安监、市监、环保、街道办等政府主管部门处理，或者依法向人民法院提起诉讼。</w:t>
      </w:r>
    </w:p>
    <w:p>
      <w:pPr>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第十三条  其它事项</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（一）本协议作为双方所签订的租赁合同的附件，具有同等法律效力。</w:t>
      </w:r>
    </w:p>
    <w:p>
      <w:pPr>
        <w:tabs>
          <w:tab w:val="left" w:pos="1800"/>
        </w:tabs>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（二）本协议书未尽事宜，由双方另行协商并签订书面补充协议，补充协议具有同等效力。</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（三）甲乙双方签订的有关安全生产管理条款与本协议不一致的，以本协议为准。</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（四）本《安全生产管理协议书》为租赁物业对应租赁合同不可分割的一部分，如乙方未能履行本协议约定的，视为乙方违约，甲方有权根据租赁合同追究乙方违约责任。</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（五）本协议自双方签字盖章后生效。本协议一式两份，甲乙双方各执一份，均具同等法律效力。</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pPr>
        <w:ind w:left="320" w:hanging="320" w:hangingChars="1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甲方（盖章）：</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乙方（盖章）：</w:t>
      </w:r>
    </w:p>
    <w:p>
      <w:pPr>
        <w:ind w:left="320" w:hanging="320" w:hangingChars="1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佛山建发智慧城市科技有限公司                   </w:t>
      </w:r>
    </w:p>
    <w:p>
      <w:pPr>
        <w:rPr>
          <w:rFonts w:ascii="仿宋_GB2312" w:hAnsi="仿宋_GB2312" w:eastAsia="仿宋_GB2312" w:cs="仿宋_GB2312"/>
          <w:color w:val="000000" w:themeColor="text1"/>
          <w:sz w:val="32"/>
          <w:szCs w:val="32"/>
          <w14:textFill>
            <w14:solidFill>
              <w14:schemeClr w14:val="tx1"/>
            </w14:solidFill>
          </w14:textFill>
        </w:rPr>
      </w:pPr>
    </w:p>
    <w:p>
      <w:pP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负责人（签名）：             负责人（签名）：</w:t>
      </w:r>
    </w:p>
    <w:p>
      <w:pPr>
        <w:rPr>
          <w:rFonts w:ascii="仿宋_GB2312" w:hAnsi="仿宋_GB2312" w:eastAsia="仿宋_GB2312" w:cs="仿宋_GB2312"/>
          <w:color w:val="000000" w:themeColor="text1"/>
          <w:sz w:val="32"/>
          <w:szCs w:val="32"/>
          <w14:textFill>
            <w14:solidFill>
              <w14:schemeClr w14:val="tx1"/>
            </w14:solidFill>
          </w14:textFill>
        </w:rPr>
      </w:pPr>
    </w:p>
    <w:p>
      <w:pP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签订日期：   年  月  日      签订日期：   年   月   日</w:t>
      </w:r>
    </w:p>
    <w:p/>
    <w:sectPr>
      <w:pgSz w:w="11906" w:h="16838"/>
      <w:pgMar w:top="1440" w:right="148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4F0"/>
    <w:rsid w:val="00323E17"/>
    <w:rsid w:val="00355A1D"/>
    <w:rsid w:val="004A10D5"/>
    <w:rsid w:val="00541D35"/>
    <w:rsid w:val="005C0952"/>
    <w:rsid w:val="00686B88"/>
    <w:rsid w:val="0074343C"/>
    <w:rsid w:val="00764E06"/>
    <w:rsid w:val="007B11A4"/>
    <w:rsid w:val="007C1ADA"/>
    <w:rsid w:val="00941CF3"/>
    <w:rsid w:val="00B204F0"/>
    <w:rsid w:val="00B3775B"/>
    <w:rsid w:val="00C3047D"/>
    <w:rsid w:val="00E35A67"/>
    <w:rsid w:val="00EF39B9"/>
    <w:rsid w:val="01255ED7"/>
    <w:rsid w:val="01D0089B"/>
    <w:rsid w:val="023A54C3"/>
    <w:rsid w:val="044A35B6"/>
    <w:rsid w:val="052704A0"/>
    <w:rsid w:val="068256EC"/>
    <w:rsid w:val="069D59BD"/>
    <w:rsid w:val="0797043B"/>
    <w:rsid w:val="0A060C2E"/>
    <w:rsid w:val="0A2A18AF"/>
    <w:rsid w:val="0AF7719B"/>
    <w:rsid w:val="0BA03347"/>
    <w:rsid w:val="0BB323A1"/>
    <w:rsid w:val="0D2E02A3"/>
    <w:rsid w:val="0DB3118B"/>
    <w:rsid w:val="0DC9122A"/>
    <w:rsid w:val="15855643"/>
    <w:rsid w:val="182175BB"/>
    <w:rsid w:val="184B751B"/>
    <w:rsid w:val="1B6152B4"/>
    <w:rsid w:val="1C434087"/>
    <w:rsid w:val="1D0D2C7B"/>
    <w:rsid w:val="21244D9D"/>
    <w:rsid w:val="21A63DB3"/>
    <w:rsid w:val="230C331F"/>
    <w:rsid w:val="247240CC"/>
    <w:rsid w:val="27B47EFB"/>
    <w:rsid w:val="27B72C63"/>
    <w:rsid w:val="28BF0327"/>
    <w:rsid w:val="28F31FF1"/>
    <w:rsid w:val="2B0A325B"/>
    <w:rsid w:val="2DAA74AD"/>
    <w:rsid w:val="2EC80501"/>
    <w:rsid w:val="2EE250DA"/>
    <w:rsid w:val="2F745FCE"/>
    <w:rsid w:val="2FD262BC"/>
    <w:rsid w:val="309F5D7F"/>
    <w:rsid w:val="31DF75A2"/>
    <w:rsid w:val="32263EC0"/>
    <w:rsid w:val="32B36180"/>
    <w:rsid w:val="33F01795"/>
    <w:rsid w:val="366E177C"/>
    <w:rsid w:val="370D08E5"/>
    <w:rsid w:val="373E7AFD"/>
    <w:rsid w:val="37563DF5"/>
    <w:rsid w:val="394B0867"/>
    <w:rsid w:val="395D47D0"/>
    <w:rsid w:val="3AEA4EB3"/>
    <w:rsid w:val="3CC869CE"/>
    <w:rsid w:val="3D662DE8"/>
    <w:rsid w:val="3E3053A5"/>
    <w:rsid w:val="3EF764D2"/>
    <w:rsid w:val="3FD86242"/>
    <w:rsid w:val="41063A86"/>
    <w:rsid w:val="426C0D7F"/>
    <w:rsid w:val="42F12379"/>
    <w:rsid w:val="45305BAC"/>
    <w:rsid w:val="47934C4C"/>
    <w:rsid w:val="49C134EB"/>
    <w:rsid w:val="4B041701"/>
    <w:rsid w:val="4C9969B9"/>
    <w:rsid w:val="4D071F59"/>
    <w:rsid w:val="4D5B7BD8"/>
    <w:rsid w:val="4D9A0CAB"/>
    <w:rsid w:val="4EF97701"/>
    <w:rsid w:val="50A31FF2"/>
    <w:rsid w:val="555B7B26"/>
    <w:rsid w:val="5ABC2034"/>
    <w:rsid w:val="5CAB0633"/>
    <w:rsid w:val="5EEC468F"/>
    <w:rsid w:val="5F0F1EA5"/>
    <w:rsid w:val="5F2C4F82"/>
    <w:rsid w:val="5F86242C"/>
    <w:rsid w:val="61BF394A"/>
    <w:rsid w:val="647B75EC"/>
    <w:rsid w:val="65CF1DD4"/>
    <w:rsid w:val="66D36D19"/>
    <w:rsid w:val="6A717EAD"/>
    <w:rsid w:val="6A813F80"/>
    <w:rsid w:val="6B523337"/>
    <w:rsid w:val="6B756692"/>
    <w:rsid w:val="6C4C004E"/>
    <w:rsid w:val="6CC50C06"/>
    <w:rsid w:val="6EE65D12"/>
    <w:rsid w:val="71BB57C3"/>
    <w:rsid w:val="72104C3A"/>
    <w:rsid w:val="73F33D34"/>
    <w:rsid w:val="76A3594A"/>
    <w:rsid w:val="7BDE7A61"/>
    <w:rsid w:val="7CA9750B"/>
    <w:rsid w:val="7DA373BF"/>
    <w:rsid w:val="7FE0215A"/>
    <w:rsid w:val="7FF02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2"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unhideWhenUsed/>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annotation text"/>
    <w:basedOn w:val="1"/>
    <w:link w:val="21"/>
    <w:qFormat/>
    <w:uiPriority w:val="0"/>
    <w:pPr>
      <w:jc w:val="left"/>
    </w:pPr>
  </w:style>
  <w:style w:type="paragraph" w:styleId="3">
    <w:name w:val="Balloon Text"/>
    <w:basedOn w:val="1"/>
    <w:link w:val="20"/>
    <w:qFormat/>
    <w:uiPriority w:val="0"/>
    <w:rPr>
      <w:sz w:val="18"/>
      <w:szCs w:val="18"/>
    </w:rPr>
  </w:style>
  <w:style w:type="paragraph" w:styleId="4">
    <w:name w:val="footer"/>
    <w:basedOn w:val="1"/>
    <w:link w:val="19"/>
    <w:qFormat/>
    <w:uiPriority w:val="0"/>
    <w:pPr>
      <w:tabs>
        <w:tab w:val="center" w:pos="4153"/>
        <w:tab w:val="right" w:pos="8306"/>
      </w:tabs>
      <w:snapToGrid w:val="0"/>
      <w:jc w:val="left"/>
    </w:pPr>
    <w:rPr>
      <w:sz w:val="18"/>
      <w:szCs w:val="18"/>
    </w:rPr>
  </w:style>
  <w:style w:type="paragraph" w:styleId="5">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2"/>
    <w:pPr>
      <w:widowControl/>
      <w:spacing w:before="100" w:beforeAutospacing="1" w:after="100" w:afterAutospacing="1"/>
      <w:jc w:val="left"/>
    </w:pPr>
    <w:rPr>
      <w:rFonts w:ascii="宋体" w:hAnsi="宋体" w:cs="宋体"/>
      <w:kern w:val="0"/>
      <w:sz w:val="24"/>
    </w:rPr>
  </w:style>
  <w:style w:type="paragraph" w:styleId="7">
    <w:name w:val="annotation subject"/>
    <w:basedOn w:val="2"/>
    <w:next w:val="2"/>
    <w:link w:val="22"/>
    <w:qFormat/>
    <w:uiPriority w:val="0"/>
    <w:rPr>
      <w:b/>
      <w:bCs/>
    </w:rPr>
  </w:style>
  <w:style w:type="character" w:styleId="10">
    <w:name w:val="FollowedHyperlink"/>
    <w:basedOn w:val="9"/>
    <w:qFormat/>
    <w:uiPriority w:val="0"/>
    <w:rPr>
      <w:color w:val="771CAA"/>
      <w:u w:val="none"/>
    </w:rPr>
  </w:style>
  <w:style w:type="character" w:styleId="11">
    <w:name w:val="Emphasis"/>
    <w:basedOn w:val="9"/>
    <w:qFormat/>
    <w:uiPriority w:val="0"/>
    <w:rPr>
      <w:color w:val="F73131"/>
    </w:rPr>
  </w:style>
  <w:style w:type="character" w:styleId="12">
    <w:name w:val="Hyperlink"/>
    <w:basedOn w:val="9"/>
    <w:qFormat/>
    <w:uiPriority w:val="0"/>
    <w:rPr>
      <w:color w:val="2440B3"/>
      <w:u w:val="none"/>
    </w:rPr>
  </w:style>
  <w:style w:type="character" w:styleId="13">
    <w:name w:val="annotation reference"/>
    <w:basedOn w:val="9"/>
    <w:qFormat/>
    <w:uiPriority w:val="0"/>
    <w:rPr>
      <w:sz w:val="21"/>
      <w:szCs w:val="21"/>
    </w:rPr>
  </w:style>
  <w:style w:type="character" w:styleId="14">
    <w:name w:val="HTML Cite"/>
    <w:basedOn w:val="9"/>
    <w:qFormat/>
    <w:uiPriority w:val="0"/>
    <w:rPr>
      <w:color w:val="008000"/>
    </w:rPr>
  </w:style>
  <w:style w:type="character" w:customStyle="1" w:styleId="15">
    <w:name w:val="c-icon30"/>
    <w:basedOn w:val="9"/>
    <w:qFormat/>
    <w:uiPriority w:val="0"/>
  </w:style>
  <w:style w:type="character" w:customStyle="1" w:styleId="16">
    <w:name w:val="hover26"/>
    <w:basedOn w:val="9"/>
    <w:qFormat/>
    <w:uiPriority w:val="0"/>
  </w:style>
  <w:style w:type="character" w:customStyle="1" w:styleId="17">
    <w:name w:val="hover27"/>
    <w:basedOn w:val="9"/>
    <w:qFormat/>
    <w:uiPriority w:val="0"/>
    <w:rPr>
      <w:color w:val="315EFB"/>
    </w:rPr>
  </w:style>
  <w:style w:type="character" w:customStyle="1" w:styleId="18">
    <w:name w:val="页眉 Char"/>
    <w:basedOn w:val="9"/>
    <w:link w:val="5"/>
    <w:qFormat/>
    <w:uiPriority w:val="0"/>
    <w:rPr>
      <w:rFonts w:asciiTheme="minorHAnsi" w:hAnsiTheme="minorHAnsi" w:eastAsiaTheme="minorEastAsia" w:cstheme="minorBidi"/>
      <w:kern w:val="2"/>
      <w:sz w:val="18"/>
      <w:szCs w:val="18"/>
    </w:rPr>
  </w:style>
  <w:style w:type="character" w:customStyle="1" w:styleId="19">
    <w:name w:val="页脚 Char"/>
    <w:basedOn w:val="9"/>
    <w:link w:val="4"/>
    <w:qFormat/>
    <w:uiPriority w:val="0"/>
    <w:rPr>
      <w:rFonts w:asciiTheme="minorHAnsi" w:hAnsiTheme="minorHAnsi" w:eastAsiaTheme="minorEastAsia" w:cstheme="minorBidi"/>
      <w:kern w:val="2"/>
      <w:sz w:val="18"/>
      <w:szCs w:val="18"/>
    </w:rPr>
  </w:style>
  <w:style w:type="character" w:customStyle="1" w:styleId="20">
    <w:name w:val="批注框文本 Char"/>
    <w:basedOn w:val="9"/>
    <w:link w:val="3"/>
    <w:qFormat/>
    <w:uiPriority w:val="0"/>
    <w:rPr>
      <w:rFonts w:asciiTheme="minorHAnsi" w:hAnsiTheme="minorHAnsi" w:eastAsiaTheme="minorEastAsia" w:cstheme="minorBidi"/>
      <w:kern w:val="2"/>
      <w:sz w:val="18"/>
      <w:szCs w:val="18"/>
    </w:rPr>
  </w:style>
  <w:style w:type="character" w:customStyle="1" w:styleId="21">
    <w:name w:val="批注文字 Char"/>
    <w:basedOn w:val="9"/>
    <w:link w:val="2"/>
    <w:qFormat/>
    <w:uiPriority w:val="0"/>
    <w:rPr>
      <w:rFonts w:asciiTheme="minorHAnsi" w:hAnsiTheme="minorHAnsi" w:eastAsiaTheme="minorEastAsia" w:cstheme="minorBidi"/>
      <w:kern w:val="2"/>
      <w:sz w:val="21"/>
      <w:szCs w:val="24"/>
    </w:rPr>
  </w:style>
  <w:style w:type="character" w:customStyle="1" w:styleId="22">
    <w:name w:val="批注主题 Char"/>
    <w:basedOn w:val="21"/>
    <w:link w:val="7"/>
    <w:qFormat/>
    <w:uiPriority w:val="0"/>
    <w:rPr>
      <w:rFonts w:asciiTheme="minorHAnsi" w:hAnsiTheme="minorHAnsi" w:eastAsiaTheme="minorEastAsia" w:cstheme="minorBidi"/>
      <w:b/>
      <w:bCs/>
      <w:kern w:val="2"/>
      <w:sz w:val="21"/>
      <w:szCs w:val="24"/>
    </w:rPr>
  </w:style>
  <w:style w:type="paragraph" w:customStyle="1" w:styleId="23">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17</Pages>
  <Words>1352</Words>
  <Characters>7710</Characters>
  <Lines>64</Lines>
  <Paragraphs>18</Paragraphs>
  <TotalTime>1</TotalTime>
  <ScaleCrop>false</ScaleCrop>
  <LinksUpToDate>false</LinksUpToDate>
  <CharactersWithSpaces>9044</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房价没有价</cp:lastModifiedBy>
  <dcterms:modified xsi:type="dcterms:W3CDTF">2023-03-07T01:43:39Z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y fmtid="{D5CDD505-2E9C-101B-9397-08002B2CF9AE}" pid="3" name="ICV">
    <vt:lpwstr>812DAEB95BF5464D853B7AE96D5788A8</vt:lpwstr>
  </property>
</Properties>
</file>