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5FA42">
      <w:pPr>
        <w:jc w:val="center"/>
        <w:rPr>
          <w:b/>
          <w:sz w:val="32"/>
          <w:szCs w:val="32"/>
        </w:rPr>
      </w:pPr>
      <w:r>
        <w:rPr>
          <w:rFonts w:hint="eastAsia"/>
          <w:b/>
          <w:sz w:val="32"/>
          <w:szCs w:val="32"/>
        </w:rPr>
        <w:t>铺位租赁合同</w:t>
      </w:r>
    </w:p>
    <w:p w14:paraId="171318C7">
      <w:pPr>
        <w:ind w:left="7140" w:firstLine="420"/>
      </w:pPr>
      <w:r>
        <w:rPr>
          <w:rFonts w:hint="eastAsia"/>
        </w:rPr>
        <w:t>编号：钟房202</w:t>
      </w:r>
      <w:r>
        <w:rPr>
          <w:rFonts w:hint="eastAsia"/>
          <w:lang w:val="en-US" w:eastAsia="zh-CN"/>
        </w:rPr>
        <w:t>5</w:t>
      </w:r>
      <w:r>
        <w:rPr>
          <w:rFonts w:hint="eastAsia"/>
        </w:rPr>
        <w:t>-</w:t>
      </w:r>
    </w:p>
    <w:p w14:paraId="00942D21">
      <w:pPr>
        <w:snapToGrid w:val="0"/>
        <w:spacing w:line="300" w:lineRule="auto"/>
      </w:pPr>
      <w:r>
        <w:rPr>
          <w:rFonts w:hint="eastAsia"/>
        </w:rPr>
        <w:t>出租方： 广州市番禺区钟村房地产开发公司</w:t>
      </w:r>
      <w:r>
        <w:rPr>
          <w:rFonts w:hint="eastAsia"/>
        </w:rPr>
        <w:tab/>
      </w:r>
      <w:r>
        <w:rPr>
          <w:rFonts w:hint="eastAsia"/>
        </w:rPr>
        <w:t>（以下简称甲方）</w:t>
      </w:r>
    </w:p>
    <w:p w14:paraId="5CAA543B">
      <w:pPr>
        <w:snapToGrid w:val="0"/>
        <w:spacing w:line="300" w:lineRule="auto"/>
      </w:pPr>
      <w:r>
        <w:rPr>
          <w:rFonts w:hint="eastAsia"/>
        </w:rPr>
        <w:t>法定地址：广州市番禺区钟村街钟灵北路25号</w:t>
      </w:r>
    </w:p>
    <w:p w14:paraId="58DDDA3C">
      <w:pPr>
        <w:snapToGrid w:val="0"/>
        <w:spacing w:line="300" w:lineRule="auto"/>
      </w:pPr>
      <w:r>
        <w:rPr>
          <w:rFonts w:hint="eastAsia"/>
        </w:rPr>
        <w:t>联系电话：</w:t>
      </w:r>
      <w:r>
        <w:rPr>
          <w:rFonts w:hint="eastAsia"/>
          <w:lang w:val="en-US" w:eastAsia="zh-CN"/>
        </w:rPr>
        <w:t>020-</w:t>
      </w:r>
      <w:r>
        <w:rPr>
          <w:rFonts w:hint="eastAsia"/>
        </w:rPr>
        <w:t>84771379</w:t>
      </w:r>
    </w:p>
    <w:p w14:paraId="6328D828">
      <w:pPr>
        <w:snapToGrid w:val="0"/>
        <w:spacing w:line="300" w:lineRule="auto"/>
      </w:pPr>
    </w:p>
    <w:p w14:paraId="272F471A">
      <w:pPr>
        <w:snapToGrid w:val="0"/>
        <w:spacing w:line="300" w:lineRule="auto"/>
      </w:pPr>
      <w:r>
        <w:rPr>
          <w:rFonts w:hint="eastAsia"/>
        </w:rPr>
        <w:t>承租方：</w:t>
      </w:r>
      <w:r>
        <w:rPr>
          <w:rFonts w:hint="eastAsia"/>
          <w:u w:val="single"/>
        </w:rPr>
        <w:t xml:space="preserve">                               </w:t>
      </w:r>
      <w:r>
        <w:rPr>
          <w:rFonts w:hint="eastAsia"/>
        </w:rPr>
        <w:t xml:space="preserve"> （以下简称乙方）</w:t>
      </w:r>
    </w:p>
    <w:p w14:paraId="452AA069">
      <w:pPr>
        <w:snapToGrid w:val="0"/>
        <w:spacing w:line="300" w:lineRule="auto"/>
        <w:rPr>
          <w:u w:val="single"/>
        </w:rPr>
      </w:pPr>
      <w:r>
        <w:rPr>
          <w:rFonts w:hint="eastAsia"/>
        </w:rPr>
        <w:t>身份证号码：</w:t>
      </w:r>
      <w:r>
        <w:rPr>
          <w:rFonts w:hint="eastAsia"/>
          <w:u w:val="single"/>
        </w:rPr>
        <w:t xml:space="preserve">                           </w:t>
      </w:r>
      <w:r>
        <w:rPr>
          <w:rFonts w:hint="eastAsia"/>
        </w:rPr>
        <w:t xml:space="preserve">   营业执照：</w:t>
      </w:r>
      <w:r>
        <w:rPr>
          <w:rFonts w:hint="eastAsia"/>
          <w:u w:val="single"/>
        </w:rPr>
        <w:t xml:space="preserve">                        </w:t>
      </w:r>
    </w:p>
    <w:p w14:paraId="159539BD">
      <w:pPr>
        <w:snapToGrid w:val="0"/>
        <w:spacing w:line="300" w:lineRule="auto"/>
        <w:rPr>
          <w:rFonts w:hint="default" w:eastAsia="宋体"/>
          <w:u w:val="single"/>
          <w:lang w:val="en-US" w:eastAsia="zh-CN"/>
        </w:rPr>
      </w:pPr>
      <w:r>
        <w:rPr>
          <w:rFonts w:hint="eastAsia"/>
        </w:rPr>
        <w:t>法定地址：</w:t>
      </w:r>
      <w:r>
        <w:rPr>
          <w:rFonts w:hint="eastAsia"/>
          <w:u w:val="single"/>
        </w:rPr>
        <w:t xml:space="preserve">                             </w:t>
      </w:r>
      <w:r>
        <w:rPr>
          <w:rFonts w:hint="eastAsia"/>
        </w:rPr>
        <w:t xml:space="preserve">    电话：</w:t>
      </w:r>
      <w:r>
        <w:rPr>
          <w:rFonts w:hint="eastAsia"/>
          <w:u w:val="single"/>
        </w:rPr>
        <w:t xml:space="preserve">                      </w:t>
      </w:r>
      <w:r>
        <w:rPr>
          <w:rFonts w:hint="eastAsia"/>
          <w:u w:val="single"/>
          <w:lang w:val="en-US" w:eastAsia="zh-CN"/>
        </w:rPr>
        <w:t xml:space="preserve">     </w:t>
      </w:r>
    </w:p>
    <w:p w14:paraId="41946867">
      <w:pPr>
        <w:snapToGrid w:val="0"/>
        <w:spacing w:line="300" w:lineRule="auto"/>
      </w:pPr>
    </w:p>
    <w:p w14:paraId="648483DF">
      <w:pPr>
        <w:snapToGrid w:val="0"/>
        <w:spacing w:line="300" w:lineRule="auto"/>
        <w:ind w:firstLine="420" w:firstLineChars="200"/>
      </w:pPr>
      <w:r>
        <w:rPr>
          <w:rFonts w:hint="eastAsia"/>
        </w:rPr>
        <w:t>根据国家有关法律法规，就乙方租赁甲方商铺使用一事，甲乙双方经友好协商达成共识，达成以下条款，双方共同严格遵守。</w:t>
      </w:r>
    </w:p>
    <w:p w14:paraId="516201EF">
      <w:pPr>
        <w:snapToGrid w:val="0"/>
        <w:spacing w:line="300" w:lineRule="auto"/>
        <w:ind w:left="420" w:hanging="420" w:hangingChars="200"/>
        <w:rPr>
          <w:highlight w:val="none"/>
        </w:rPr>
      </w:pPr>
      <w:r>
        <w:rPr>
          <w:rFonts w:hint="eastAsia"/>
        </w:rPr>
        <w:t>一、甲方将位于广州市番禺区钟村街</w:t>
      </w:r>
      <w:r>
        <w:rPr>
          <w:rFonts w:hint="eastAsia"/>
          <w:u w:val="single"/>
        </w:rPr>
        <w:t xml:space="preserve"> </w:t>
      </w:r>
      <w:r>
        <w:rPr>
          <w:rFonts w:hint="eastAsia"/>
          <w:u w:val="single"/>
          <w:lang w:val="en-US" w:eastAsia="zh-CN"/>
        </w:rPr>
        <w:t xml:space="preserve">          </w:t>
      </w:r>
      <w:r>
        <w:rPr>
          <w:rFonts w:hint="eastAsia"/>
        </w:rPr>
        <w:t>商铺(门牌号：</w:t>
      </w:r>
      <w:r>
        <w:rPr>
          <w:rFonts w:hint="eastAsia"/>
          <w:u w:val="single"/>
          <w:lang w:val="en-US" w:eastAsia="zh-CN"/>
        </w:rPr>
        <w:t xml:space="preserve">            </w:t>
      </w:r>
      <w:r>
        <w:rPr>
          <w:rFonts w:hint="eastAsia"/>
        </w:rPr>
        <w:t>)（以下简称该商铺）租赁予乙方经营之用，经甲乙双方现场确认，该商铺面积约为</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平方米，</w:t>
      </w:r>
      <w:r>
        <w:rPr>
          <w:rFonts w:hint="eastAsia"/>
          <w:highlight w:val="none"/>
        </w:rPr>
        <w:t>租赁期自</w:t>
      </w:r>
      <w:r>
        <w:rPr>
          <w:rFonts w:hint="eastAsia"/>
          <w:highlight w:val="none"/>
          <w:u w:val="single"/>
        </w:rPr>
        <w:t xml:space="preserve"> </w:t>
      </w:r>
      <w:r>
        <w:rPr>
          <w:rFonts w:hint="eastAsia"/>
          <w:highlight w:val="none"/>
          <w:u w:val="single"/>
          <w:lang w:val="en-US" w:eastAsia="zh-CN"/>
        </w:rPr>
        <w:t xml:space="preserve">     </w:t>
      </w:r>
      <w:r>
        <w:rPr>
          <w:rFonts w:hint="eastAsia"/>
          <w:highlight w:val="none"/>
        </w:rPr>
        <w:t>年</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月</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日起至</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年</w:t>
      </w:r>
      <w:r>
        <w:rPr>
          <w:rFonts w:hint="eastAsia"/>
          <w:highlight w:val="none"/>
          <w:u w:val="single"/>
        </w:rPr>
        <w:t xml:space="preserve"> </w:t>
      </w:r>
      <w:r>
        <w:rPr>
          <w:rFonts w:hint="eastAsia"/>
          <w:highlight w:val="none"/>
          <w:u w:val="single"/>
          <w:lang w:val="en-US" w:eastAsia="zh-CN"/>
        </w:rPr>
        <w:t xml:space="preserve">   </w:t>
      </w:r>
      <w:r>
        <w:rPr>
          <w:rFonts w:hint="eastAsia"/>
          <w:highlight w:val="none"/>
        </w:rPr>
        <w:t>月</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u w:val="single"/>
          <w:lang w:val="en-US" w:eastAsia="zh-CN"/>
        </w:rPr>
        <w:t xml:space="preserve">   </w:t>
      </w:r>
      <w:r>
        <w:rPr>
          <w:rFonts w:hint="eastAsia"/>
          <w:color w:val="auto"/>
          <w:highlight w:val="none"/>
          <w:u w:val="single"/>
          <w:lang w:val="en-US" w:eastAsia="zh-CN"/>
        </w:rPr>
        <w:t xml:space="preserve">    </w:t>
      </w:r>
      <w:r>
        <w:rPr>
          <w:rFonts w:hint="eastAsia"/>
          <w:highlight w:val="none"/>
        </w:rPr>
        <w:t>日止（</w:t>
      </w:r>
      <w:bookmarkStart w:id="0" w:name="_GoBack"/>
      <w:bookmarkEnd w:id="0"/>
      <w:r>
        <w:rPr>
          <w:rFonts w:hint="eastAsia"/>
          <w:highlight w:val="none"/>
        </w:rPr>
        <w:t>若实际交铺日延期，则租期顺延；乙方须在甲方通知三个工作日内接收商铺，否则，通知后第三个工作日视为起租日）。乙方选择的经营范围</w:t>
      </w:r>
      <w:r>
        <w:rPr>
          <w:rFonts w:hint="eastAsia"/>
          <w:highlight w:val="none"/>
          <w:lang w:val="en-US" w:eastAsia="zh-CN"/>
        </w:rPr>
        <w:t xml:space="preserve"> </w:t>
      </w:r>
      <w:r>
        <w:rPr>
          <w:rFonts w:hint="eastAsia"/>
          <w:highlight w:val="none"/>
        </w:rPr>
        <w:t>为</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（止）</w:t>
      </w:r>
      <w:r>
        <w:rPr>
          <w:rFonts w:hint="eastAsia"/>
          <w:highlight w:val="none"/>
        </w:rPr>
        <w:t>。</w:t>
      </w:r>
    </w:p>
    <w:p w14:paraId="387091A1">
      <w:pPr>
        <w:snapToGrid w:val="0"/>
        <w:spacing w:line="300" w:lineRule="auto"/>
        <w:ind w:left="420" w:hanging="420" w:hangingChars="200"/>
        <w:rPr>
          <w:highlight w:val="none"/>
        </w:rPr>
      </w:pPr>
      <w:r>
        <w:rPr>
          <w:rFonts w:hint="eastAsia"/>
          <w:highlight w:val="none"/>
        </w:rPr>
        <w:t xml:space="preserve">    乙方确认在签订本合同时已完全清楚上述商铺的现状（包括位置、产权状况及周边环境等），并对此并无异议。</w:t>
      </w:r>
    </w:p>
    <w:p w14:paraId="1B8A08EC">
      <w:pPr>
        <w:snapToGrid w:val="0"/>
        <w:spacing w:line="300" w:lineRule="auto"/>
        <w:ind w:left="420" w:hanging="420" w:hangingChars="200"/>
      </w:pPr>
      <w:r>
        <w:rPr>
          <w:rFonts w:hint="eastAsia"/>
          <w:highlight w:val="none"/>
        </w:rPr>
        <w:t>二、租赁期内</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年</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月</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日</w:t>
      </w:r>
      <w:r>
        <w:rPr>
          <w:rFonts w:hint="eastAsia"/>
          <w:highlight w:val="none"/>
          <w:lang w:val="en-US" w:eastAsia="zh-CN"/>
        </w:rPr>
        <w:t>至</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年</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月</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日每月租金</w:t>
      </w:r>
      <w:r>
        <w:rPr>
          <w:rFonts w:hint="eastAsia"/>
          <w:highlight w:val="none"/>
          <w:lang w:eastAsia="zh-CN"/>
        </w:rPr>
        <w:t>为</w:t>
      </w:r>
      <w:r>
        <w:rPr>
          <w:rFonts w:hint="eastAsia"/>
          <w:highlight w:val="none"/>
        </w:rPr>
        <w:t>人民币</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元（大写 ：</w:t>
      </w:r>
      <w:r>
        <w:rPr>
          <w:rFonts w:hint="eastAsia"/>
          <w:highlight w:val="none"/>
          <w:u w:val="single"/>
          <w:lang w:val="en-US" w:eastAsia="zh-CN"/>
        </w:rPr>
        <w:t xml:space="preserve">              </w:t>
      </w:r>
      <w:r>
        <w:rPr>
          <w:rFonts w:hint="eastAsia"/>
          <w:szCs w:val="21"/>
          <w:highlight w:val="none"/>
        </w:rPr>
        <w:t>）</w:t>
      </w:r>
      <w:r>
        <w:rPr>
          <w:rFonts w:hint="eastAsia"/>
          <w:szCs w:val="21"/>
          <w:highlight w:val="none"/>
          <w:lang w:val="en-US" w:eastAsia="zh-CN"/>
        </w:rPr>
        <w:t>,</w:t>
      </w:r>
      <w:r>
        <w:rPr>
          <w:rFonts w:hint="eastAsia"/>
          <w:b/>
          <w:bCs/>
          <w:szCs w:val="21"/>
          <w:highlight w:val="none"/>
          <w:lang w:val="en-US" w:eastAsia="zh-CN"/>
        </w:rPr>
        <w:t>每两年在上期基础上</w:t>
      </w:r>
      <w:r>
        <w:rPr>
          <w:rFonts w:hint="eastAsia"/>
          <w:b/>
          <w:bCs/>
          <w:szCs w:val="21"/>
          <w:highlight w:val="none"/>
          <w:lang w:eastAsia="zh-CN"/>
        </w:rPr>
        <w:t>递增3%，</w:t>
      </w:r>
      <w:r>
        <w:rPr>
          <w:rFonts w:hint="eastAsia"/>
          <w:b/>
          <w:bCs/>
          <w:szCs w:val="21"/>
          <w:highlight w:val="none"/>
          <w:lang w:val="en-US" w:eastAsia="zh-CN"/>
        </w:rPr>
        <w:t>即：</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年</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月</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日</w:t>
      </w:r>
      <w:r>
        <w:rPr>
          <w:rFonts w:hint="eastAsia"/>
          <w:highlight w:val="none"/>
          <w:lang w:val="en-US" w:eastAsia="zh-CN"/>
        </w:rPr>
        <w:t>至</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年</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月</w:t>
      </w:r>
      <w:r>
        <w:rPr>
          <w:rFonts w:hint="eastAsia"/>
          <w:highlight w:val="none"/>
          <w:u w:val="single"/>
        </w:rPr>
        <w:t xml:space="preserve"> </w:t>
      </w:r>
      <w:r>
        <w:rPr>
          <w:rFonts w:hint="eastAsia"/>
          <w:highlight w:val="none"/>
          <w:u w:val="single"/>
          <w:lang w:val="en-US" w:eastAsia="zh-CN"/>
        </w:rPr>
        <w:t xml:space="preserve">  </w:t>
      </w:r>
      <w:r>
        <w:rPr>
          <w:rFonts w:hint="eastAsia"/>
          <w:highlight w:val="none"/>
          <w:u w:val="single"/>
        </w:rPr>
        <w:t xml:space="preserve"> </w:t>
      </w:r>
      <w:r>
        <w:rPr>
          <w:rFonts w:hint="eastAsia"/>
          <w:highlight w:val="none"/>
        </w:rPr>
        <w:t>日每月</w:t>
      </w:r>
      <w:r>
        <w:rPr>
          <w:rFonts w:hint="eastAsia"/>
        </w:rPr>
        <w:t>租金</w:t>
      </w:r>
      <w:r>
        <w:rPr>
          <w:rFonts w:hint="eastAsia"/>
          <w:lang w:eastAsia="zh-CN"/>
        </w:rPr>
        <w:t>为</w:t>
      </w:r>
      <w:r>
        <w:rPr>
          <w:rFonts w:hint="eastAsia"/>
        </w:rPr>
        <w:t>人民币</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元（大写 ：</w:t>
      </w:r>
      <w:r>
        <w:rPr>
          <w:rFonts w:hint="eastAsia"/>
          <w:szCs w:val="21"/>
          <w:u w:val="single"/>
        </w:rPr>
        <w:t xml:space="preserve"> </w:t>
      </w:r>
      <w:r>
        <w:rPr>
          <w:rFonts w:hint="eastAsia"/>
          <w:u w:val="single"/>
          <w:lang w:val="en-US" w:eastAsia="zh-CN"/>
        </w:rPr>
        <w:t xml:space="preserve">                   </w:t>
      </w:r>
      <w:r>
        <w:rPr>
          <w:rFonts w:hint="eastAsia"/>
          <w:szCs w:val="21"/>
        </w:rPr>
        <w:t>）</w:t>
      </w:r>
      <w:r>
        <w:rPr>
          <w:rFonts w:hint="eastAsia"/>
        </w:rPr>
        <w:t>。乙方须于每月5号前</w:t>
      </w:r>
      <w:r>
        <w:rPr>
          <w:rFonts w:hint="eastAsia"/>
          <w:lang w:val="en-US" w:eastAsia="zh-CN"/>
        </w:rPr>
        <w:t>以</w:t>
      </w:r>
      <w:r>
        <w:rPr>
          <w:rFonts w:hint="eastAsia"/>
          <w:b/>
          <w:bCs/>
          <w:u w:val="single"/>
          <w:lang w:val="en-US" w:eastAsia="zh-CN"/>
        </w:rPr>
        <w:t>银行转账</w:t>
      </w:r>
      <w:r>
        <w:rPr>
          <w:rFonts w:hint="eastAsia"/>
          <w:lang w:val="en-US" w:eastAsia="zh-CN"/>
        </w:rPr>
        <w:t>付款方式一次性</w:t>
      </w:r>
      <w:r>
        <w:rPr>
          <w:rFonts w:hint="eastAsia"/>
        </w:rPr>
        <w:t>向甲方缴付当月租金</w:t>
      </w:r>
      <w:r>
        <w:rPr>
          <w:rFonts w:hint="eastAsia"/>
          <w:lang w:eastAsia="zh-CN"/>
        </w:rPr>
        <w:t>（</w:t>
      </w:r>
      <w:r>
        <w:rPr>
          <w:rFonts w:hint="eastAsia"/>
          <w:b/>
          <w:bCs/>
          <w:lang w:val="en-US" w:eastAsia="zh-CN"/>
        </w:rPr>
        <w:t>甲方指定账户户名：广州市番禺区钟村房地产开发公司，开户行：中国银行股份有限公司广州番禺钟村支行 ，账号：700357746028</w:t>
      </w:r>
      <w:r>
        <w:rPr>
          <w:rFonts w:hint="eastAsia"/>
          <w:lang w:val="en-US" w:eastAsia="zh-CN"/>
        </w:rPr>
        <w:t>），</w:t>
      </w:r>
      <w:r>
        <w:rPr>
          <w:rFonts w:hint="eastAsia"/>
        </w:rPr>
        <w:t>并自行向</w:t>
      </w:r>
      <w:r>
        <w:rPr>
          <w:rFonts w:hint="eastAsia"/>
          <w:color w:val="auto"/>
        </w:rPr>
        <w:t>钟村供电所缴纳电费，向钟村自来水公司缴纳水费。</w:t>
      </w:r>
      <w:r>
        <w:rPr>
          <w:rFonts w:hint="eastAsia"/>
          <w:snapToGrid w:val="0"/>
          <w:color w:val="auto"/>
          <w:kern w:val="0"/>
          <w:szCs w:val="26"/>
        </w:rPr>
        <w:t>若乙方逾期缴交租金的，则按所欠租金总额按日增缴5</w:t>
      </w:r>
      <w:r>
        <w:rPr>
          <w:rFonts w:hint="eastAsia" w:ascii="宋体" w:hAnsi="宋体"/>
          <w:snapToGrid w:val="0"/>
          <w:color w:val="auto"/>
          <w:kern w:val="0"/>
          <w:szCs w:val="26"/>
        </w:rPr>
        <w:t>‰</w:t>
      </w:r>
      <w:r>
        <w:rPr>
          <w:rFonts w:hint="eastAsia"/>
          <w:snapToGrid w:val="0"/>
          <w:color w:val="auto"/>
          <w:kern w:val="0"/>
          <w:szCs w:val="26"/>
        </w:rPr>
        <w:t>的</w:t>
      </w:r>
      <w:r>
        <w:rPr>
          <w:rFonts w:hint="eastAsia"/>
          <w:snapToGrid w:val="0"/>
          <w:color w:val="auto"/>
          <w:kern w:val="0"/>
          <w:szCs w:val="26"/>
          <w:lang w:eastAsia="zh-CN"/>
        </w:rPr>
        <w:t>违约金</w:t>
      </w:r>
      <w:r>
        <w:rPr>
          <w:rFonts w:hint="eastAsia"/>
          <w:snapToGrid w:val="0"/>
          <w:color w:val="auto"/>
          <w:kern w:val="0"/>
          <w:szCs w:val="26"/>
        </w:rPr>
        <w:t>计付给</w:t>
      </w:r>
      <w:r>
        <w:rPr>
          <w:rFonts w:hint="eastAsia"/>
          <w:snapToGrid w:val="0"/>
          <w:kern w:val="0"/>
          <w:szCs w:val="26"/>
        </w:rPr>
        <w:t>甲方。</w:t>
      </w:r>
    </w:p>
    <w:p w14:paraId="1A1E847C">
      <w:pPr>
        <w:snapToGrid w:val="0"/>
        <w:spacing w:line="300" w:lineRule="auto"/>
        <w:ind w:left="420" w:hanging="420" w:hangingChars="200"/>
      </w:pPr>
      <w:r>
        <w:rPr>
          <w:rFonts w:hint="eastAsia"/>
        </w:rPr>
        <w:t>三、乙方须于本合同签订时向甲方交付</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元（大写 ：</w:t>
      </w:r>
      <w:r>
        <w:rPr>
          <w:rFonts w:hint="eastAsia"/>
          <w:u w:val="single"/>
        </w:rPr>
        <w:t xml:space="preserve"> </w:t>
      </w:r>
      <w:r>
        <w:rPr>
          <w:rFonts w:hint="eastAsia"/>
          <w:u w:val="single"/>
          <w:lang w:val="en-US" w:eastAsia="zh-CN"/>
        </w:rPr>
        <w:t xml:space="preserve">                </w:t>
      </w:r>
      <w:r>
        <w:rPr>
          <w:rFonts w:hint="eastAsia"/>
        </w:rPr>
        <w:t>）的</w:t>
      </w:r>
      <w:r>
        <w:rPr>
          <w:rFonts w:hint="eastAsia"/>
          <w:b/>
          <w:bCs/>
        </w:rPr>
        <w:t>租赁保证金</w:t>
      </w:r>
      <w:r>
        <w:rPr>
          <w:rFonts w:hint="eastAsia"/>
        </w:rPr>
        <w:t>，</w:t>
      </w:r>
      <w:r>
        <w:rPr>
          <w:rFonts w:hint="eastAsia"/>
          <w:color w:val="auto"/>
          <w:lang w:val="en-US" w:eastAsia="zh-CN"/>
        </w:rPr>
        <w:t>合同期内租赁保证金不能抵扣乙方应缴的费用。</w:t>
      </w:r>
      <w:r>
        <w:rPr>
          <w:rFonts w:hint="eastAsia"/>
          <w:color w:val="auto"/>
        </w:rPr>
        <w:t>在合同期满时，如乙方无拖欠租金或其他规费</w:t>
      </w:r>
      <w:r>
        <w:rPr>
          <w:rFonts w:hint="eastAsia"/>
          <w:color w:val="auto"/>
          <w:lang w:val="en-US" w:eastAsia="zh-CN"/>
        </w:rPr>
        <w:t>，</w:t>
      </w:r>
      <w:r>
        <w:rPr>
          <w:rFonts w:hint="eastAsia"/>
        </w:rPr>
        <w:t>并已履行及遵照本合同之一切规定，合同期满后于收铺之3天内，甲方将该铺之租赁保证金不计利息退还予乙方。</w:t>
      </w:r>
    </w:p>
    <w:p w14:paraId="12B56852">
      <w:pPr>
        <w:snapToGrid w:val="0"/>
        <w:spacing w:line="300" w:lineRule="auto"/>
        <w:ind w:left="420" w:hanging="420" w:hangingChars="200"/>
      </w:pPr>
      <w:r>
        <w:rPr>
          <w:rFonts w:hint="eastAsia"/>
        </w:rPr>
        <w:t>四、租赁期间，乙方不得私自将该商铺全部或部分转租与他人，乙方转租应征得甲方书面同意，并交纳</w:t>
      </w:r>
      <w:r>
        <w:rPr>
          <w:rFonts w:hint="eastAsia"/>
          <w:u w:val="single"/>
        </w:rPr>
        <w:t xml:space="preserve"> </w:t>
      </w:r>
      <w:r>
        <w:rPr>
          <w:rFonts w:hint="eastAsia"/>
          <w:b/>
          <w:bCs/>
          <w:u w:val="single"/>
        </w:rPr>
        <w:t xml:space="preserve">5000 .00 </w:t>
      </w:r>
      <w:r>
        <w:rPr>
          <w:rFonts w:hint="eastAsia"/>
        </w:rPr>
        <w:t>元转名劳务费。</w:t>
      </w:r>
    </w:p>
    <w:p w14:paraId="7CA6CEB0">
      <w:pPr>
        <w:snapToGrid w:val="0"/>
        <w:spacing w:line="300" w:lineRule="auto"/>
        <w:ind w:left="420" w:hanging="420" w:hangingChars="200"/>
        <w:rPr>
          <w:color w:val="auto"/>
        </w:rPr>
      </w:pPr>
      <w:r>
        <w:rPr>
          <w:rFonts w:hint="eastAsia"/>
        </w:rPr>
        <w:t>五、甲方按现状商铺给乙方使用。乙方同意按</w:t>
      </w:r>
      <w:r>
        <w:rPr>
          <w:rFonts w:hint="eastAsia"/>
          <w:b w:val="0"/>
          <w:bCs/>
        </w:rPr>
        <w:t>广州市番禺区钟村房地产物业管理有限公司审定的设计装修方案和标准进行招牌装修，装修费用及铺内装修和设施的日常维修、维护由乙方自行负责。乙方装修时须向广州市番禺区钟村房地产物业管理有限公司付1500元保证金并办理装修许可证，装修完毕经广州市番禺区钟村房地产物业管理有限公司按甲乙双方签署之设计装修方案及标准验收合格后，认定对原建筑物并无造成影响，广州市番禺区钟村房地产物业管理有限公司于验收后 3天内将装修保证金不计利息退还乙方；如乙方装修过程造成建筑物或公共设施损坏和损失，乙方须作出相应赔偿并恢复原状，广州市番禺区钟村房地产物业管理有限公司有</w:t>
      </w:r>
      <w:r>
        <w:rPr>
          <w:rFonts w:hint="eastAsia"/>
        </w:rPr>
        <w:t>权没收装修保证金。</w:t>
      </w:r>
    </w:p>
    <w:p w14:paraId="7187C369">
      <w:pPr>
        <w:snapToGrid w:val="0"/>
        <w:spacing w:line="300" w:lineRule="auto"/>
        <w:ind w:left="420" w:hanging="420" w:hangingChars="200"/>
        <w:rPr>
          <w:rFonts w:hint="eastAsia" w:eastAsia="宋体"/>
          <w:color w:val="auto"/>
          <w:lang w:eastAsia="zh-CN"/>
        </w:rPr>
      </w:pPr>
      <w:r>
        <w:rPr>
          <w:rFonts w:hint="eastAsia"/>
          <w:color w:val="auto"/>
        </w:rPr>
        <w:t>六、乙方开业经营，需自行到工商部门办领经营牌照，持证经营（合同到期后，须注销商铺营业执照后方可办理退租赁保证金手续）</w:t>
      </w:r>
      <w:r>
        <w:rPr>
          <w:rFonts w:hint="eastAsia"/>
          <w:color w:val="auto"/>
          <w:lang w:eastAsia="zh-CN"/>
        </w:rPr>
        <w:t>。</w:t>
      </w:r>
    </w:p>
    <w:p w14:paraId="4AF50675">
      <w:pPr>
        <w:snapToGrid w:val="0"/>
        <w:spacing w:line="300" w:lineRule="auto"/>
        <w:ind w:left="420" w:hanging="420" w:hangingChars="200"/>
      </w:pPr>
      <w:r>
        <w:rPr>
          <w:rFonts w:hint="eastAsia"/>
          <w:color w:val="auto"/>
        </w:rPr>
        <w:t>七、各商铺内</w:t>
      </w:r>
      <w:r>
        <w:rPr>
          <w:rFonts w:hint="eastAsia"/>
          <w:color w:val="auto"/>
          <w:lang w:eastAsia="zh-CN"/>
        </w:rPr>
        <w:t>有</w:t>
      </w:r>
      <w:r>
        <w:rPr>
          <w:rFonts w:hint="eastAsia"/>
          <w:color w:val="auto"/>
        </w:rPr>
        <w:t>安装独立水表（电表）</w:t>
      </w:r>
      <w:r>
        <w:rPr>
          <w:rFonts w:hint="eastAsia"/>
          <w:color w:val="auto"/>
          <w:lang w:eastAsia="zh-CN"/>
        </w:rPr>
        <w:t>的</w:t>
      </w:r>
      <w:r>
        <w:rPr>
          <w:rFonts w:hint="eastAsia"/>
          <w:color w:val="auto"/>
        </w:rPr>
        <w:t>，供水及供电部门将按每月抄</w:t>
      </w:r>
      <w:r>
        <w:rPr>
          <w:rFonts w:hint="eastAsia"/>
        </w:rPr>
        <w:t>表时的读数计算当月水电费；乙方使用租赁物时不得私自改动或破坏相应铺位的水电表，一经甲方发现，即视乙方根本性违约，甲方有权以违约责任方式单方面解除本合同并按本合同第十二条第1点的约定追究乙方之违约责任。</w:t>
      </w:r>
    </w:p>
    <w:p w14:paraId="37309007">
      <w:pPr>
        <w:snapToGrid w:val="0"/>
        <w:spacing w:line="300" w:lineRule="auto"/>
        <w:ind w:left="420" w:hanging="420" w:hangingChars="200"/>
      </w:pPr>
      <w:r>
        <w:rPr>
          <w:rFonts w:hint="eastAsia"/>
        </w:rPr>
        <w:t>八、乙方使用过程中，严格按照建筑物使用规范进行使用，不得以超越承载力、产生振动、噪声、污染、腐蚀等方式经营，不得贮藏枪械、弹药、炸药、火油等违禁品或其他有爆炸性、易燃性或危险性之物品于该铺内，乙方不得从事任何与法律法规抵触之行为。</w:t>
      </w:r>
    </w:p>
    <w:p w14:paraId="06E9CC26">
      <w:pPr>
        <w:snapToGrid w:val="0"/>
        <w:spacing w:line="300" w:lineRule="auto"/>
        <w:ind w:left="420" w:hanging="420" w:hangingChars="200"/>
      </w:pPr>
      <w:r>
        <w:rPr>
          <w:rFonts w:hint="eastAsia"/>
        </w:rPr>
        <w:t>九、在合同期满或中途终止、解除之日起3天内，乙方必须将该铺连同铺内属于甲方所有之设备完整交还甲方，并维持水电能正常使用，固场、固地的装修物件不得破坏（冷气机除外），否则，甲方有权追究乙方赔偿责任；同时乙方还须在该限期内将自有之所有物品搬离，逾期不搬离，视为乙方自动放弃该可搬离物品之权利，甲方有自行处置而不作任何补偿</w:t>
      </w:r>
      <w:r>
        <w:rPr>
          <w:rFonts w:hint="eastAsia"/>
          <w:lang w:eastAsia="zh-CN"/>
        </w:rPr>
        <w:t>，</w:t>
      </w:r>
      <w:r>
        <w:rPr>
          <w:rFonts w:hint="eastAsia"/>
          <w:color w:val="auto"/>
          <w:lang w:val="en-US" w:eastAsia="zh-CN"/>
        </w:rPr>
        <w:t>并有权向乙方追讨清理费</w:t>
      </w:r>
      <w:r>
        <w:rPr>
          <w:rFonts w:hint="eastAsia"/>
          <w:color w:val="auto"/>
        </w:rPr>
        <w:t>。而</w:t>
      </w:r>
      <w:r>
        <w:rPr>
          <w:rFonts w:hint="eastAsia"/>
        </w:rPr>
        <w:t>乙方在该铺经营期间，还必须保持该铺连同铺内属于甲方所有之设备的完整性，如中途损坏，其所产生一切修缮的费用由乙方负责。</w:t>
      </w:r>
    </w:p>
    <w:p w14:paraId="6609E0A9">
      <w:pPr>
        <w:snapToGrid w:val="0"/>
        <w:spacing w:line="300" w:lineRule="auto"/>
        <w:ind w:left="420" w:hanging="420" w:hangingChars="200"/>
      </w:pPr>
      <w:r>
        <w:rPr>
          <w:rFonts w:hint="eastAsia"/>
        </w:rPr>
        <w:t>十、乙方于遵守本合同一切条款时，则在合同有效期间内甲方或其代理人不得妨碍或中断其享用该铺之权利，不得影响乙方正常经营活动。甲方仅向乙方提供符合经营条件的场地，并不构成对乙方财物及人身安全之保障，亦不能保证其他经营条件的全天候完备。</w:t>
      </w:r>
    </w:p>
    <w:p w14:paraId="4D6BA4FC">
      <w:pPr>
        <w:snapToGrid w:val="0"/>
        <w:spacing w:line="300" w:lineRule="auto"/>
        <w:ind w:left="420" w:hanging="420" w:hangingChars="200"/>
        <w:rPr>
          <w:color w:val="auto"/>
        </w:rPr>
      </w:pPr>
      <w:r>
        <w:rPr>
          <w:rFonts w:hint="eastAsia"/>
        </w:rPr>
        <w:t>十一、乙方须妥善处理好劳资纠纷，如因其拖欠工人工资而引发群体性事件，甲方有权即时终止本协议第十二条第1点的约定追究乙方之违约责任；如发生甲方垫付工人工资情况，甲方有权留置租赁物内乙方之一切物品用于清偿甲方垫付</w:t>
      </w:r>
      <w:r>
        <w:rPr>
          <w:rFonts w:hint="eastAsia"/>
          <w:color w:val="auto"/>
        </w:rPr>
        <w:t>款项及乙方所拖欠的租金、水电费用。</w:t>
      </w:r>
    </w:p>
    <w:p w14:paraId="2093FE75">
      <w:pPr>
        <w:snapToGrid w:val="0"/>
        <w:spacing w:line="300" w:lineRule="auto"/>
        <w:rPr>
          <w:color w:val="auto"/>
        </w:rPr>
      </w:pPr>
      <w:r>
        <w:rPr>
          <w:rFonts w:hint="eastAsia"/>
          <w:color w:val="auto"/>
        </w:rPr>
        <w:t>十二、违约责任</w:t>
      </w:r>
    </w:p>
    <w:p w14:paraId="051D89E4">
      <w:pPr>
        <w:snapToGrid w:val="0"/>
        <w:spacing w:line="300" w:lineRule="auto"/>
        <w:ind w:left="475" w:leftChars="86" w:hanging="294" w:hangingChars="140"/>
        <w:rPr>
          <w:color w:val="auto"/>
        </w:rPr>
      </w:pPr>
      <w:r>
        <w:rPr>
          <w:rFonts w:hint="eastAsia"/>
          <w:color w:val="auto"/>
        </w:rPr>
        <w:t>1、乙方在当月5号前未缴交租金、水电费，则甲方有权在6号开始对该商铺停水、停电处理；缴费期到期后10天内仍未缴纳，甲方有权单方面即时解除合同并收回租赁物而不作任何补偿，同时乙方交纳的租赁保证金将不予返还</w:t>
      </w:r>
      <w:r>
        <w:rPr>
          <w:rFonts w:hint="eastAsia"/>
          <w:color w:val="auto"/>
          <w:lang w:eastAsia="zh-CN"/>
        </w:rPr>
        <w:t>，</w:t>
      </w:r>
      <w:r>
        <w:rPr>
          <w:rFonts w:hint="eastAsia"/>
          <w:color w:val="auto"/>
          <w:lang w:val="en-US" w:eastAsia="zh-CN"/>
        </w:rPr>
        <w:t>违约金仍按本合同约定计收直至乙方付清所有欠款</w:t>
      </w:r>
      <w:r>
        <w:rPr>
          <w:rFonts w:hint="eastAsia"/>
          <w:color w:val="auto"/>
        </w:rPr>
        <w:t>。同时甲方还有权</w:t>
      </w:r>
      <w:r>
        <w:rPr>
          <w:rFonts w:hint="eastAsia"/>
          <w:color w:val="auto"/>
          <w:lang w:eastAsia="zh-CN"/>
        </w:rPr>
        <w:t>向乙</w:t>
      </w:r>
      <w:r>
        <w:rPr>
          <w:rFonts w:hint="eastAsia"/>
          <w:color w:val="auto"/>
          <w:lang w:val="en-US" w:eastAsia="zh-CN"/>
        </w:rPr>
        <w:t>方</w:t>
      </w:r>
      <w:r>
        <w:rPr>
          <w:rFonts w:hint="eastAsia"/>
          <w:color w:val="auto"/>
        </w:rPr>
        <w:t>追讨其所欠租金</w:t>
      </w:r>
      <w:r>
        <w:rPr>
          <w:rFonts w:hint="eastAsia"/>
          <w:color w:val="auto"/>
          <w:lang w:eastAsia="zh-CN"/>
        </w:rPr>
        <w:t>，且因追讨租金所产生的一切费用（</w:t>
      </w:r>
      <w:r>
        <w:rPr>
          <w:rFonts w:hint="eastAsia"/>
          <w:color w:val="auto"/>
          <w:lang w:val="en-US" w:eastAsia="zh-CN"/>
        </w:rPr>
        <w:t>含律师费、诉讼费、财产保全费、财产保全保险费等</w:t>
      </w:r>
      <w:r>
        <w:rPr>
          <w:rFonts w:hint="eastAsia"/>
          <w:color w:val="auto"/>
          <w:lang w:eastAsia="zh-CN"/>
        </w:rPr>
        <w:t>）由乙方承担。</w:t>
      </w:r>
    </w:p>
    <w:p w14:paraId="17332622">
      <w:pPr>
        <w:snapToGrid w:val="0"/>
        <w:spacing w:line="300" w:lineRule="auto"/>
        <w:ind w:left="487" w:leftChars="32" w:hanging="420" w:hangingChars="200"/>
        <w:rPr>
          <w:color w:val="auto"/>
        </w:rPr>
      </w:pPr>
      <w:r>
        <w:rPr>
          <w:rFonts w:hint="eastAsia"/>
          <w:color w:val="auto"/>
        </w:rPr>
        <w:t xml:space="preserve"> 2、如该商铺之结构因不可抗力因素遭受破坏，以致不宜使用时，甲方须尽快进行修缮，修缮期间乙方不须缴付租金，或视乎损坏程度而缴付部分租金。如该商铺损坏程度过甚，或受法例与其他限制，以致不宜于修缮时，乙方可与甲方终止合同，甲方将乙方所付租赁保证金不计利息退还。</w:t>
      </w:r>
    </w:p>
    <w:p w14:paraId="0EBFF9EC">
      <w:pPr>
        <w:snapToGrid w:val="0"/>
        <w:spacing w:line="300" w:lineRule="auto"/>
        <w:ind w:left="475" w:leftChars="86" w:hanging="294" w:hangingChars="140"/>
        <w:rPr>
          <w:rFonts w:hint="eastAsia" w:eastAsia="宋体"/>
          <w:color w:val="auto"/>
          <w:lang w:eastAsia="zh-CN"/>
        </w:rPr>
      </w:pPr>
      <w:r>
        <w:rPr>
          <w:rFonts w:hint="eastAsia"/>
          <w:color w:val="auto"/>
        </w:rPr>
        <w:t>3、乙方有下列情形之一，甲方有权随时单方面终止本合同，并无条件收回该商铺，乙方的租赁保证金不作退还</w:t>
      </w:r>
      <w:r>
        <w:rPr>
          <w:rFonts w:hint="eastAsia"/>
          <w:color w:val="auto"/>
          <w:lang w:eastAsia="zh-CN"/>
        </w:rPr>
        <w:t>，</w:t>
      </w:r>
      <w:r>
        <w:rPr>
          <w:rFonts w:hint="eastAsia"/>
          <w:color w:val="auto"/>
        </w:rPr>
        <w:t>同时甲方还有权追讨</w:t>
      </w:r>
      <w:r>
        <w:rPr>
          <w:rFonts w:hint="eastAsia"/>
          <w:color w:val="auto"/>
          <w:lang w:val="en-US" w:eastAsia="zh-CN"/>
        </w:rPr>
        <w:t>乙方拖欠租金、费用</w:t>
      </w:r>
      <w:r>
        <w:rPr>
          <w:rFonts w:hint="eastAsia"/>
          <w:color w:val="auto"/>
        </w:rPr>
        <w:t>等一切违约责任</w:t>
      </w:r>
      <w:r>
        <w:rPr>
          <w:rFonts w:hint="eastAsia"/>
          <w:color w:val="auto"/>
          <w:lang w:eastAsia="zh-CN"/>
        </w:rPr>
        <w:t>（</w:t>
      </w:r>
      <w:r>
        <w:rPr>
          <w:rFonts w:hint="eastAsia"/>
          <w:color w:val="auto"/>
          <w:lang w:val="en-US" w:eastAsia="zh-CN"/>
        </w:rPr>
        <w:t>如有</w:t>
      </w:r>
      <w:r>
        <w:rPr>
          <w:rFonts w:hint="eastAsia"/>
          <w:color w:val="auto"/>
          <w:lang w:eastAsia="zh-CN"/>
        </w:rPr>
        <w:t>）</w:t>
      </w:r>
      <w:r>
        <w:rPr>
          <w:rFonts w:hint="eastAsia"/>
          <w:color w:val="auto"/>
        </w:rPr>
        <w:t>：</w:t>
      </w:r>
    </w:p>
    <w:p w14:paraId="4BA41503">
      <w:pPr>
        <w:snapToGrid w:val="0"/>
        <w:spacing w:line="300" w:lineRule="auto"/>
        <w:ind w:left="178" w:leftChars="85"/>
      </w:pPr>
      <w:r>
        <w:rPr>
          <w:rFonts w:hint="eastAsia"/>
        </w:rPr>
        <w:t>（1）乙方利用该铺之任何部分或设施，从事任何足以损害或侵扰相邻及其他租户之行为</w:t>
      </w:r>
      <w:r>
        <w:rPr>
          <w:rFonts w:hint="eastAsia"/>
          <w:lang w:eastAsia="zh-CN"/>
        </w:rPr>
        <w:t>；</w:t>
      </w:r>
      <w:r>
        <w:rPr>
          <w:rFonts w:hint="eastAsia"/>
        </w:rPr>
        <w:t>（2）乙方在该铺制造、储藏及销售假冒伪劣商品和侵犯他人知识产权的商品</w:t>
      </w:r>
      <w:r>
        <w:rPr>
          <w:rFonts w:hint="eastAsia"/>
          <w:lang w:eastAsia="zh-CN"/>
        </w:rPr>
        <w:t>；</w:t>
      </w:r>
      <w:r>
        <w:rPr>
          <w:rFonts w:hint="eastAsia"/>
        </w:rPr>
        <w:t>（3）未经甲方同意转让、转租、分租、承包该商铺与第三方使用；</w:t>
      </w:r>
      <w:r>
        <w:rPr>
          <w:rFonts w:hint="eastAsia"/>
          <w:lang w:eastAsia="zh-CN"/>
        </w:rPr>
        <w:t>（</w:t>
      </w:r>
      <w:r>
        <w:rPr>
          <w:rFonts w:hint="eastAsia"/>
          <w:lang w:val="en-US" w:eastAsia="zh-CN"/>
        </w:rPr>
        <w:t>4</w:t>
      </w:r>
      <w:r>
        <w:rPr>
          <w:rFonts w:hint="eastAsia"/>
          <w:lang w:eastAsia="zh-CN"/>
        </w:rPr>
        <w:t>）</w:t>
      </w:r>
      <w:r>
        <w:rPr>
          <w:rFonts w:hint="eastAsia"/>
        </w:rPr>
        <w:t>擅自改变商铺用途，超越经营范围</w:t>
      </w:r>
      <w:r>
        <w:rPr>
          <w:rFonts w:hint="eastAsia"/>
          <w:lang w:eastAsia="zh-CN"/>
        </w:rPr>
        <w:t>；</w:t>
      </w:r>
      <w:r>
        <w:rPr>
          <w:rFonts w:hint="eastAsia"/>
        </w:rPr>
        <w:t>（</w:t>
      </w:r>
      <w:r>
        <w:rPr>
          <w:rFonts w:hint="eastAsia"/>
          <w:lang w:val="en-US" w:eastAsia="zh-CN"/>
        </w:rPr>
        <w:t>5</w:t>
      </w:r>
      <w:r>
        <w:rPr>
          <w:rFonts w:hint="eastAsia"/>
        </w:rPr>
        <w:t>）为偿债而利用该商铺与其债权人签订还款计划</w:t>
      </w:r>
      <w:r>
        <w:rPr>
          <w:rFonts w:hint="eastAsia"/>
          <w:lang w:eastAsia="zh-CN"/>
        </w:rPr>
        <w:t>；</w:t>
      </w:r>
      <w:r>
        <w:rPr>
          <w:rFonts w:hint="eastAsia"/>
        </w:rPr>
        <w:t>（</w:t>
      </w:r>
      <w:r>
        <w:rPr>
          <w:rFonts w:hint="eastAsia"/>
          <w:lang w:val="en-US" w:eastAsia="zh-CN"/>
        </w:rPr>
        <w:t>6</w:t>
      </w:r>
      <w:r>
        <w:rPr>
          <w:rFonts w:hint="eastAsia"/>
        </w:rPr>
        <w:t>）乙方自身或容留、纵容他人利用该商铺作违法或不道德之用途</w:t>
      </w:r>
      <w:r>
        <w:rPr>
          <w:rFonts w:hint="eastAsia"/>
          <w:lang w:eastAsia="zh-CN"/>
        </w:rPr>
        <w:t>，</w:t>
      </w:r>
      <w:r>
        <w:rPr>
          <w:rFonts w:hint="eastAsia"/>
        </w:rPr>
        <w:t>乙方对违法行为不作为视为纵容</w:t>
      </w:r>
      <w:r>
        <w:rPr>
          <w:rFonts w:hint="eastAsia"/>
          <w:lang w:eastAsia="zh-CN"/>
        </w:rPr>
        <w:t>；</w:t>
      </w:r>
      <w:r>
        <w:rPr>
          <w:rFonts w:hint="eastAsia"/>
        </w:rPr>
        <w:t>（</w:t>
      </w:r>
      <w:r>
        <w:rPr>
          <w:rFonts w:hint="eastAsia"/>
          <w:lang w:val="en-US" w:eastAsia="zh-CN"/>
        </w:rPr>
        <w:t>7</w:t>
      </w:r>
      <w:r>
        <w:rPr>
          <w:rFonts w:hint="eastAsia"/>
        </w:rPr>
        <w:t>）乙方不履行或不遵照本合同任何条款之规定</w:t>
      </w:r>
      <w:r>
        <w:rPr>
          <w:rFonts w:hint="eastAsia"/>
          <w:lang w:eastAsia="zh-CN"/>
        </w:rPr>
        <w:t>；</w:t>
      </w:r>
      <w:r>
        <w:rPr>
          <w:rFonts w:hint="eastAsia"/>
        </w:rPr>
        <w:t>（</w:t>
      </w:r>
      <w:r>
        <w:rPr>
          <w:rFonts w:hint="eastAsia"/>
          <w:lang w:val="en-US" w:eastAsia="zh-CN"/>
        </w:rPr>
        <w:t>8</w:t>
      </w:r>
      <w:r>
        <w:rPr>
          <w:rFonts w:hint="eastAsia"/>
        </w:rPr>
        <w:t>）乙方有不遵守《消防安全责任承诺书》之任何行为</w:t>
      </w:r>
      <w:r>
        <w:rPr>
          <w:rFonts w:hint="eastAsia"/>
          <w:lang w:eastAsia="zh-CN"/>
        </w:rPr>
        <w:t>；</w:t>
      </w:r>
      <w:r>
        <w:rPr>
          <w:rFonts w:hint="eastAsia"/>
        </w:rPr>
        <w:t>（</w:t>
      </w:r>
      <w:r>
        <w:rPr>
          <w:rFonts w:hint="eastAsia"/>
          <w:lang w:val="en-US" w:eastAsia="zh-CN"/>
        </w:rPr>
        <w:t>9</w:t>
      </w:r>
      <w:r>
        <w:rPr>
          <w:rFonts w:hint="eastAsia"/>
        </w:rPr>
        <w:t>）乙方所属本店涉及违法案件已立案处理，或乙方卷入公共丑闻，并经媒体报导。</w:t>
      </w:r>
    </w:p>
    <w:p w14:paraId="71C64636">
      <w:pPr>
        <w:snapToGrid w:val="0"/>
        <w:spacing w:line="300" w:lineRule="auto"/>
        <w:ind w:left="630" w:hanging="630" w:hangingChars="300"/>
      </w:pPr>
      <w:r>
        <w:rPr>
          <w:rFonts w:hint="eastAsia"/>
        </w:rPr>
        <w:t>十三、甲乙双方确认仲裁机构、人民法院送达法律文书及甲乙双方相互送达与本合同有关之一切文件的地址均以上述甲乙双方所签署的地址为其通迅地址，从一方寄发挂号信之日</w:t>
      </w:r>
      <w:r>
        <w:t>(</w:t>
      </w:r>
      <w:r>
        <w:rPr>
          <w:rFonts w:hint="eastAsia"/>
        </w:rPr>
        <w:t>以邮戳为准</w:t>
      </w:r>
      <w:r>
        <w:t>)</w:t>
      </w:r>
      <w:r>
        <w:rPr>
          <w:rFonts w:hint="eastAsia"/>
        </w:rPr>
        <w:t>起10天内，视为另一方已收妥上述相关文件；任一方地址发生变更均须书面通知另一方，否则由此造成的一切后果均由怠于通知方承担。</w:t>
      </w:r>
    </w:p>
    <w:p w14:paraId="421B8820">
      <w:pPr>
        <w:snapToGrid w:val="0"/>
        <w:spacing w:line="300" w:lineRule="auto"/>
        <w:ind w:left="630" w:hanging="630" w:hangingChars="300"/>
      </w:pPr>
      <w:r>
        <w:rPr>
          <w:rFonts w:hint="eastAsia"/>
        </w:rPr>
        <w:t>十四、凡乙方的代理人、雇员或访客之违约或疏忽行为，均视为乙方之违约或疏忽行为；如因乙方疏忽或铺内装修不佳或设施装配使用不当，致第三方人身伤害或财物损失时，乙方须承担全部责任。</w:t>
      </w:r>
    </w:p>
    <w:p w14:paraId="74625337">
      <w:pPr>
        <w:snapToGrid w:val="0"/>
        <w:spacing w:line="300" w:lineRule="auto"/>
        <w:ind w:left="630" w:hanging="630" w:hangingChars="300"/>
      </w:pPr>
      <w:r>
        <w:rPr>
          <w:rFonts w:hint="eastAsia"/>
        </w:rPr>
        <w:t>十五、本合同的附件《消防安全责任承诺书》视作本合同之部分，甲乙双方自觉遵守。铺位实行谁承租谁负责的原则，将安全防火责任落实到各铺位，乙方是上述承租商铺的直接防火责任人，要对该商铺的防火负全责。</w:t>
      </w:r>
    </w:p>
    <w:p w14:paraId="100E3CF1">
      <w:pPr>
        <w:snapToGrid w:val="0"/>
        <w:spacing w:line="300" w:lineRule="auto"/>
        <w:ind w:left="630" w:hanging="630" w:hangingChars="300"/>
      </w:pPr>
      <w:r>
        <w:rPr>
          <w:rFonts w:hint="eastAsia"/>
        </w:rPr>
        <w:t>十六、本合同于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日在广州市番禺区钟村房地产开发公司签定；若本合同执行过程发生争议，双方均可向</w:t>
      </w:r>
      <w:r>
        <w:rPr>
          <w:rFonts w:hint="eastAsia"/>
          <w:lang w:val="en-US" w:eastAsia="zh-CN"/>
        </w:rPr>
        <w:t>甲方所在地</w:t>
      </w:r>
      <w:r>
        <w:rPr>
          <w:rFonts w:hint="eastAsia"/>
        </w:rPr>
        <w:t>人民法院提起诉讼。</w:t>
      </w:r>
    </w:p>
    <w:p w14:paraId="72681833">
      <w:pPr>
        <w:snapToGrid w:val="0"/>
        <w:spacing w:line="300" w:lineRule="auto"/>
        <w:ind w:left="630" w:hanging="630" w:hangingChars="300"/>
      </w:pPr>
      <w:r>
        <w:rPr>
          <w:rFonts w:hint="eastAsia"/>
        </w:rPr>
        <w:t>十七、本合同一式两份，甲乙双方各执一份，均具同等法律效力，自双方签字盖章后生效。</w:t>
      </w:r>
    </w:p>
    <w:p w14:paraId="66F3CE97">
      <w:pPr>
        <w:snapToGrid w:val="0"/>
        <w:spacing w:line="300" w:lineRule="auto"/>
      </w:pPr>
      <w:r>
        <w:rPr>
          <w:rFonts w:hint="eastAsia"/>
        </w:rPr>
        <w:t>（以下无正文）</w:t>
      </w:r>
    </w:p>
    <w:p w14:paraId="4157E006">
      <w:pPr>
        <w:snapToGrid w:val="0"/>
        <w:spacing w:line="300" w:lineRule="auto"/>
        <w:rPr>
          <w:b/>
        </w:rPr>
      </w:pPr>
      <w:r>
        <w:rPr>
          <w:rFonts w:hint="eastAsia"/>
          <w:b/>
        </w:rPr>
        <w:t xml:space="preserve">出租方：广州市番禺区钟村房地产开发公司 （盖章）    </w:t>
      </w:r>
      <w:r>
        <w:rPr>
          <w:rFonts w:hint="eastAsia"/>
          <w:b/>
        </w:rPr>
        <w:tab/>
      </w:r>
      <w:r>
        <w:rPr>
          <w:rFonts w:hint="eastAsia"/>
          <w:b/>
        </w:rPr>
        <w:t>承租方：                    （签字并盖章）</w:t>
      </w:r>
    </w:p>
    <w:p w14:paraId="088BA075">
      <w:pPr>
        <w:snapToGrid w:val="0"/>
        <w:spacing w:line="300" w:lineRule="auto"/>
        <w:rPr>
          <w:b/>
        </w:rPr>
      </w:pPr>
    </w:p>
    <w:p w14:paraId="56D1ECC1">
      <w:pPr>
        <w:snapToGrid w:val="0"/>
        <w:spacing w:line="300" w:lineRule="auto"/>
        <w:rPr>
          <w:b/>
        </w:rPr>
      </w:pPr>
      <w:r>
        <w:rPr>
          <w:rFonts w:hint="eastAsia"/>
          <w:b/>
        </w:rPr>
        <w:t>签约代表：</w:t>
      </w:r>
      <w:r>
        <w:rPr>
          <w:rFonts w:hint="eastAsia"/>
          <w:b/>
        </w:rPr>
        <w:tab/>
      </w:r>
      <w:r>
        <w:rPr>
          <w:rFonts w:hint="eastAsia"/>
          <w:b/>
        </w:rPr>
        <w:tab/>
      </w:r>
      <w:r>
        <w:rPr>
          <w:rFonts w:hint="eastAsia"/>
          <w:b/>
        </w:rPr>
        <w:tab/>
      </w:r>
      <w:r>
        <w:rPr>
          <w:rFonts w:hint="eastAsia"/>
          <w:b/>
        </w:rPr>
        <w:tab/>
      </w:r>
      <w:r>
        <w:rPr>
          <w:rFonts w:hint="eastAsia"/>
          <w:b/>
        </w:rPr>
        <w:tab/>
      </w:r>
      <w:r>
        <w:rPr>
          <w:rFonts w:hint="eastAsia"/>
          <w:b/>
        </w:rPr>
        <w:tab/>
      </w:r>
      <w:r>
        <w:rPr>
          <w:rFonts w:hint="eastAsia"/>
          <w:b/>
        </w:rPr>
        <w:tab/>
      </w:r>
      <w:r>
        <w:rPr>
          <w:rFonts w:hint="eastAsia"/>
          <w:b/>
        </w:rPr>
        <w:tab/>
      </w:r>
      <w:r>
        <w:rPr>
          <w:rFonts w:hint="eastAsia"/>
          <w:b/>
        </w:rPr>
        <w:tab/>
      </w:r>
      <w:r>
        <w:rPr>
          <w:rFonts w:hint="eastAsia"/>
          <w:b/>
        </w:rPr>
        <w:tab/>
      </w:r>
      <w:r>
        <w:rPr>
          <w:rFonts w:hint="eastAsia"/>
          <w:b/>
        </w:rPr>
        <w:tab/>
      </w:r>
      <w:r>
        <w:rPr>
          <w:rFonts w:hint="eastAsia"/>
          <w:b/>
        </w:rPr>
        <w:t>身份证号码：</w:t>
      </w:r>
    </w:p>
    <w:p w14:paraId="339A9648">
      <w:pPr>
        <w:snapToGrid w:val="0"/>
        <w:spacing w:line="300" w:lineRule="auto"/>
        <w:rPr>
          <w:b/>
        </w:rPr>
      </w:pPr>
      <w:r>
        <w:rPr>
          <w:rFonts w:hint="eastAsia"/>
          <w:b/>
        </w:rPr>
        <w:t>见证人：</w:t>
      </w:r>
    </w:p>
    <w:sectPr>
      <w:headerReference r:id="rId3" w:type="default"/>
      <w:footerReference r:id="rId4" w:type="default"/>
      <w:footerReference r:id="rId5" w:type="even"/>
      <w:pgSz w:w="11906" w:h="16838"/>
      <w:pgMar w:top="737" w:right="737" w:bottom="561" w:left="737" w:header="6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B7A03">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2</w:t>
    </w:r>
    <w:r>
      <w:rPr>
        <w:rStyle w:val="7"/>
      </w:rPr>
      <w:fldChar w:fldCharType="end"/>
    </w:r>
  </w:p>
  <w:p w14:paraId="12506594">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00D5F">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2219127E">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2842D">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1MmFlZTliZDNlYWY2MTdkNWNiOTg3NzQzYTY3NGUifQ=="/>
  </w:docVars>
  <w:rsids>
    <w:rsidRoot w:val="004F13A8"/>
    <w:rsid w:val="000059C1"/>
    <w:rsid w:val="00006798"/>
    <w:rsid w:val="00011890"/>
    <w:rsid w:val="00015EBF"/>
    <w:rsid w:val="000165FE"/>
    <w:rsid w:val="0002338F"/>
    <w:rsid w:val="00042449"/>
    <w:rsid w:val="00042C4C"/>
    <w:rsid w:val="00055C91"/>
    <w:rsid w:val="000624C0"/>
    <w:rsid w:val="00062E73"/>
    <w:rsid w:val="00071F08"/>
    <w:rsid w:val="0007453E"/>
    <w:rsid w:val="0007509D"/>
    <w:rsid w:val="000A678F"/>
    <w:rsid w:val="000D464C"/>
    <w:rsid w:val="000D582E"/>
    <w:rsid w:val="000D63D2"/>
    <w:rsid w:val="000E6332"/>
    <w:rsid w:val="000F15BB"/>
    <w:rsid w:val="000F69D2"/>
    <w:rsid w:val="0010311A"/>
    <w:rsid w:val="0012504C"/>
    <w:rsid w:val="00125E40"/>
    <w:rsid w:val="0012637C"/>
    <w:rsid w:val="00143CA7"/>
    <w:rsid w:val="0014417C"/>
    <w:rsid w:val="00161401"/>
    <w:rsid w:val="0016780E"/>
    <w:rsid w:val="00172137"/>
    <w:rsid w:val="00183A17"/>
    <w:rsid w:val="0019727C"/>
    <w:rsid w:val="001B0303"/>
    <w:rsid w:val="001B3011"/>
    <w:rsid w:val="001B535F"/>
    <w:rsid w:val="001C00D1"/>
    <w:rsid w:val="001C03BB"/>
    <w:rsid w:val="001C051F"/>
    <w:rsid w:val="001C45F2"/>
    <w:rsid w:val="001D03FC"/>
    <w:rsid w:val="001D3C01"/>
    <w:rsid w:val="001D6D31"/>
    <w:rsid w:val="00211B56"/>
    <w:rsid w:val="00221F0E"/>
    <w:rsid w:val="00224BF2"/>
    <w:rsid w:val="002424B5"/>
    <w:rsid w:val="00246775"/>
    <w:rsid w:val="00246E9C"/>
    <w:rsid w:val="00247C6F"/>
    <w:rsid w:val="00273414"/>
    <w:rsid w:val="0027434F"/>
    <w:rsid w:val="00276571"/>
    <w:rsid w:val="00297697"/>
    <w:rsid w:val="002A05B6"/>
    <w:rsid w:val="002A3C7A"/>
    <w:rsid w:val="002B02C7"/>
    <w:rsid w:val="002B4BBF"/>
    <w:rsid w:val="002C345C"/>
    <w:rsid w:val="002D4FE6"/>
    <w:rsid w:val="002E4B6D"/>
    <w:rsid w:val="002F28EB"/>
    <w:rsid w:val="002F3645"/>
    <w:rsid w:val="002F5973"/>
    <w:rsid w:val="002F7B15"/>
    <w:rsid w:val="0032125E"/>
    <w:rsid w:val="00324B13"/>
    <w:rsid w:val="0033024E"/>
    <w:rsid w:val="003348CB"/>
    <w:rsid w:val="00335FAC"/>
    <w:rsid w:val="003369D1"/>
    <w:rsid w:val="00344469"/>
    <w:rsid w:val="003525CA"/>
    <w:rsid w:val="003567E8"/>
    <w:rsid w:val="0036193D"/>
    <w:rsid w:val="00373DEA"/>
    <w:rsid w:val="00373F0B"/>
    <w:rsid w:val="0037424F"/>
    <w:rsid w:val="003862C4"/>
    <w:rsid w:val="00396E12"/>
    <w:rsid w:val="003A6353"/>
    <w:rsid w:val="003B24C3"/>
    <w:rsid w:val="003B7872"/>
    <w:rsid w:val="003C01D6"/>
    <w:rsid w:val="003C094E"/>
    <w:rsid w:val="003C2BEF"/>
    <w:rsid w:val="003C5F0E"/>
    <w:rsid w:val="003D291F"/>
    <w:rsid w:val="003F06E6"/>
    <w:rsid w:val="0040032F"/>
    <w:rsid w:val="0040517B"/>
    <w:rsid w:val="0040784B"/>
    <w:rsid w:val="00412F6E"/>
    <w:rsid w:val="00414CAF"/>
    <w:rsid w:val="00433AD8"/>
    <w:rsid w:val="00434F45"/>
    <w:rsid w:val="0043664F"/>
    <w:rsid w:val="004660DA"/>
    <w:rsid w:val="0046636E"/>
    <w:rsid w:val="00471809"/>
    <w:rsid w:val="004722F8"/>
    <w:rsid w:val="004777E2"/>
    <w:rsid w:val="00480EDB"/>
    <w:rsid w:val="004827A6"/>
    <w:rsid w:val="00483A63"/>
    <w:rsid w:val="00487961"/>
    <w:rsid w:val="00493B0F"/>
    <w:rsid w:val="004A0D8E"/>
    <w:rsid w:val="004A7DFC"/>
    <w:rsid w:val="004C6E73"/>
    <w:rsid w:val="004D4728"/>
    <w:rsid w:val="004E0C68"/>
    <w:rsid w:val="004E26F6"/>
    <w:rsid w:val="004E552A"/>
    <w:rsid w:val="004F13A8"/>
    <w:rsid w:val="00500739"/>
    <w:rsid w:val="0050276A"/>
    <w:rsid w:val="00503BBC"/>
    <w:rsid w:val="00503EAE"/>
    <w:rsid w:val="00505A6F"/>
    <w:rsid w:val="005135A6"/>
    <w:rsid w:val="005173AB"/>
    <w:rsid w:val="00522D71"/>
    <w:rsid w:val="005547A9"/>
    <w:rsid w:val="0056236F"/>
    <w:rsid w:val="00562DDE"/>
    <w:rsid w:val="005737E5"/>
    <w:rsid w:val="00576664"/>
    <w:rsid w:val="00581896"/>
    <w:rsid w:val="00596E30"/>
    <w:rsid w:val="005A2C22"/>
    <w:rsid w:val="005A7721"/>
    <w:rsid w:val="005C3A39"/>
    <w:rsid w:val="005C5AD8"/>
    <w:rsid w:val="005C782B"/>
    <w:rsid w:val="005C7DF7"/>
    <w:rsid w:val="005D1905"/>
    <w:rsid w:val="005D3ECD"/>
    <w:rsid w:val="005E0969"/>
    <w:rsid w:val="005F1679"/>
    <w:rsid w:val="005F4997"/>
    <w:rsid w:val="0060194B"/>
    <w:rsid w:val="00614326"/>
    <w:rsid w:val="006158A1"/>
    <w:rsid w:val="00622CB9"/>
    <w:rsid w:val="00637D9A"/>
    <w:rsid w:val="0064012A"/>
    <w:rsid w:val="0064218E"/>
    <w:rsid w:val="006427EA"/>
    <w:rsid w:val="00650C14"/>
    <w:rsid w:val="006565DA"/>
    <w:rsid w:val="006632FB"/>
    <w:rsid w:val="006660E5"/>
    <w:rsid w:val="00677C0D"/>
    <w:rsid w:val="00692569"/>
    <w:rsid w:val="006975DC"/>
    <w:rsid w:val="006A4BBA"/>
    <w:rsid w:val="006A5170"/>
    <w:rsid w:val="006A7BAD"/>
    <w:rsid w:val="006C5D7D"/>
    <w:rsid w:val="006E0209"/>
    <w:rsid w:val="006E168D"/>
    <w:rsid w:val="006E63D1"/>
    <w:rsid w:val="006E7813"/>
    <w:rsid w:val="006F1737"/>
    <w:rsid w:val="007076C7"/>
    <w:rsid w:val="00712688"/>
    <w:rsid w:val="0071279E"/>
    <w:rsid w:val="007200C9"/>
    <w:rsid w:val="007268ED"/>
    <w:rsid w:val="00726D0A"/>
    <w:rsid w:val="007337A1"/>
    <w:rsid w:val="007521C2"/>
    <w:rsid w:val="00755EF0"/>
    <w:rsid w:val="007652A2"/>
    <w:rsid w:val="00765CAB"/>
    <w:rsid w:val="00767A4B"/>
    <w:rsid w:val="00771BF7"/>
    <w:rsid w:val="00777556"/>
    <w:rsid w:val="00777AA0"/>
    <w:rsid w:val="00782961"/>
    <w:rsid w:val="00793AD5"/>
    <w:rsid w:val="00797C2A"/>
    <w:rsid w:val="007A7E61"/>
    <w:rsid w:val="007B05E8"/>
    <w:rsid w:val="007B4180"/>
    <w:rsid w:val="007C3E66"/>
    <w:rsid w:val="007E5C12"/>
    <w:rsid w:val="007E6C8F"/>
    <w:rsid w:val="007F3B3F"/>
    <w:rsid w:val="00802559"/>
    <w:rsid w:val="00806902"/>
    <w:rsid w:val="00812C99"/>
    <w:rsid w:val="0081390B"/>
    <w:rsid w:val="00820D9C"/>
    <w:rsid w:val="00821524"/>
    <w:rsid w:val="00822299"/>
    <w:rsid w:val="0082748A"/>
    <w:rsid w:val="00827E43"/>
    <w:rsid w:val="00832D2E"/>
    <w:rsid w:val="00847A41"/>
    <w:rsid w:val="00856C56"/>
    <w:rsid w:val="00857369"/>
    <w:rsid w:val="00861935"/>
    <w:rsid w:val="00871314"/>
    <w:rsid w:val="00874094"/>
    <w:rsid w:val="00892BF5"/>
    <w:rsid w:val="00894EC2"/>
    <w:rsid w:val="00895209"/>
    <w:rsid w:val="0089773E"/>
    <w:rsid w:val="008A14BB"/>
    <w:rsid w:val="008A23B3"/>
    <w:rsid w:val="008B771D"/>
    <w:rsid w:val="008C0C93"/>
    <w:rsid w:val="008C7D69"/>
    <w:rsid w:val="008D1CF8"/>
    <w:rsid w:val="008E10B0"/>
    <w:rsid w:val="008E1BD7"/>
    <w:rsid w:val="008F1C5C"/>
    <w:rsid w:val="008F27D2"/>
    <w:rsid w:val="009062C7"/>
    <w:rsid w:val="009074B0"/>
    <w:rsid w:val="00907FA3"/>
    <w:rsid w:val="009112B2"/>
    <w:rsid w:val="00914D66"/>
    <w:rsid w:val="00923F97"/>
    <w:rsid w:val="00952656"/>
    <w:rsid w:val="00972DE6"/>
    <w:rsid w:val="009824DA"/>
    <w:rsid w:val="00983DF0"/>
    <w:rsid w:val="009846D5"/>
    <w:rsid w:val="009A01CD"/>
    <w:rsid w:val="009B1608"/>
    <w:rsid w:val="009B2BDF"/>
    <w:rsid w:val="009B7E5C"/>
    <w:rsid w:val="009C06FB"/>
    <w:rsid w:val="009C2401"/>
    <w:rsid w:val="009C43D4"/>
    <w:rsid w:val="009C5913"/>
    <w:rsid w:val="009E7FE0"/>
    <w:rsid w:val="009F0B0B"/>
    <w:rsid w:val="009F1033"/>
    <w:rsid w:val="009F28D6"/>
    <w:rsid w:val="009F388F"/>
    <w:rsid w:val="009F7E46"/>
    <w:rsid w:val="00A00380"/>
    <w:rsid w:val="00A0285B"/>
    <w:rsid w:val="00A16E21"/>
    <w:rsid w:val="00A23B7F"/>
    <w:rsid w:val="00A30FD6"/>
    <w:rsid w:val="00A43992"/>
    <w:rsid w:val="00A53207"/>
    <w:rsid w:val="00A53849"/>
    <w:rsid w:val="00A557FB"/>
    <w:rsid w:val="00A65AA7"/>
    <w:rsid w:val="00A65AAF"/>
    <w:rsid w:val="00A81C6B"/>
    <w:rsid w:val="00A82051"/>
    <w:rsid w:val="00A83043"/>
    <w:rsid w:val="00A94AFA"/>
    <w:rsid w:val="00A96667"/>
    <w:rsid w:val="00AC4070"/>
    <w:rsid w:val="00AD6EE3"/>
    <w:rsid w:val="00AE080B"/>
    <w:rsid w:val="00B028A1"/>
    <w:rsid w:val="00B0366A"/>
    <w:rsid w:val="00B17D9F"/>
    <w:rsid w:val="00B31006"/>
    <w:rsid w:val="00B3756F"/>
    <w:rsid w:val="00B50D35"/>
    <w:rsid w:val="00B5664B"/>
    <w:rsid w:val="00B76B0A"/>
    <w:rsid w:val="00B81FEC"/>
    <w:rsid w:val="00B90496"/>
    <w:rsid w:val="00B942F6"/>
    <w:rsid w:val="00B956CB"/>
    <w:rsid w:val="00BA1644"/>
    <w:rsid w:val="00BA184D"/>
    <w:rsid w:val="00BB3DC3"/>
    <w:rsid w:val="00BC0BAB"/>
    <w:rsid w:val="00BE1D29"/>
    <w:rsid w:val="00BE5110"/>
    <w:rsid w:val="00BF4F06"/>
    <w:rsid w:val="00C01970"/>
    <w:rsid w:val="00C2601A"/>
    <w:rsid w:val="00C409A5"/>
    <w:rsid w:val="00C448CD"/>
    <w:rsid w:val="00C51893"/>
    <w:rsid w:val="00C55C35"/>
    <w:rsid w:val="00C651FE"/>
    <w:rsid w:val="00C67B8D"/>
    <w:rsid w:val="00C73FF2"/>
    <w:rsid w:val="00C83C31"/>
    <w:rsid w:val="00C86374"/>
    <w:rsid w:val="00C92D6A"/>
    <w:rsid w:val="00C934D5"/>
    <w:rsid w:val="00CA21EC"/>
    <w:rsid w:val="00CA3A14"/>
    <w:rsid w:val="00CC5493"/>
    <w:rsid w:val="00CC770C"/>
    <w:rsid w:val="00CD1E29"/>
    <w:rsid w:val="00CD716F"/>
    <w:rsid w:val="00CE1AAE"/>
    <w:rsid w:val="00CE21C9"/>
    <w:rsid w:val="00CE37BA"/>
    <w:rsid w:val="00CE3A3A"/>
    <w:rsid w:val="00CE3AE0"/>
    <w:rsid w:val="00CE3B09"/>
    <w:rsid w:val="00CE5A86"/>
    <w:rsid w:val="00CF17A2"/>
    <w:rsid w:val="00CF1DC2"/>
    <w:rsid w:val="00D16321"/>
    <w:rsid w:val="00D308D0"/>
    <w:rsid w:val="00D625FE"/>
    <w:rsid w:val="00D843D7"/>
    <w:rsid w:val="00D91EDB"/>
    <w:rsid w:val="00DC465F"/>
    <w:rsid w:val="00DC6672"/>
    <w:rsid w:val="00DC7016"/>
    <w:rsid w:val="00DC7867"/>
    <w:rsid w:val="00DD2BB4"/>
    <w:rsid w:val="00DD4BDC"/>
    <w:rsid w:val="00DF7C3F"/>
    <w:rsid w:val="00DF7C89"/>
    <w:rsid w:val="00E000BB"/>
    <w:rsid w:val="00E13BE1"/>
    <w:rsid w:val="00E15574"/>
    <w:rsid w:val="00E566A3"/>
    <w:rsid w:val="00E6282C"/>
    <w:rsid w:val="00E72E36"/>
    <w:rsid w:val="00E77ADE"/>
    <w:rsid w:val="00E83775"/>
    <w:rsid w:val="00E855B7"/>
    <w:rsid w:val="00E90F58"/>
    <w:rsid w:val="00E93ED9"/>
    <w:rsid w:val="00EA2B16"/>
    <w:rsid w:val="00EA698B"/>
    <w:rsid w:val="00EA6D36"/>
    <w:rsid w:val="00ED7FA0"/>
    <w:rsid w:val="00F03CDA"/>
    <w:rsid w:val="00F06BC5"/>
    <w:rsid w:val="00F07330"/>
    <w:rsid w:val="00F244CC"/>
    <w:rsid w:val="00F32F1A"/>
    <w:rsid w:val="00F35393"/>
    <w:rsid w:val="00F42A74"/>
    <w:rsid w:val="00F54835"/>
    <w:rsid w:val="00F54D96"/>
    <w:rsid w:val="00F63856"/>
    <w:rsid w:val="00F973CC"/>
    <w:rsid w:val="00FB11C7"/>
    <w:rsid w:val="00FC2F44"/>
    <w:rsid w:val="00FC5C5C"/>
    <w:rsid w:val="00FE3838"/>
    <w:rsid w:val="013E7723"/>
    <w:rsid w:val="040F1D6E"/>
    <w:rsid w:val="05C8248C"/>
    <w:rsid w:val="06F37430"/>
    <w:rsid w:val="07571DAC"/>
    <w:rsid w:val="0CDA4D6A"/>
    <w:rsid w:val="0FA97D3E"/>
    <w:rsid w:val="0FF15C92"/>
    <w:rsid w:val="13E265C9"/>
    <w:rsid w:val="149411C0"/>
    <w:rsid w:val="152218FC"/>
    <w:rsid w:val="15927144"/>
    <w:rsid w:val="15995919"/>
    <w:rsid w:val="16A80E44"/>
    <w:rsid w:val="1DF83E91"/>
    <w:rsid w:val="1E522E75"/>
    <w:rsid w:val="20586EBF"/>
    <w:rsid w:val="2234120F"/>
    <w:rsid w:val="23127C96"/>
    <w:rsid w:val="23AA160B"/>
    <w:rsid w:val="24DC2D6A"/>
    <w:rsid w:val="263A4061"/>
    <w:rsid w:val="27A42993"/>
    <w:rsid w:val="27DE4F64"/>
    <w:rsid w:val="2AE91102"/>
    <w:rsid w:val="2D57703A"/>
    <w:rsid w:val="2E5642BC"/>
    <w:rsid w:val="2F0361F1"/>
    <w:rsid w:val="30A516B4"/>
    <w:rsid w:val="34017942"/>
    <w:rsid w:val="36767BE0"/>
    <w:rsid w:val="39CC4CDD"/>
    <w:rsid w:val="3A956EAD"/>
    <w:rsid w:val="3C39641D"/>
    <w:rsid w:val="3D330C7A"/>
    <w:rsid w:val="40684DB5"/>
    <w:rsid w:val="41156FBB"/>
    <w:rsid w:val="43063163"/>
    <w:rsid w:val="48BF68FD"/>
    <w:rsid w:val="4B563341"/>
    <w:rsid w:val="4B663938"/>
    <w:rsid w:val="4BF75554"/>
    <w:rsid w:val="4E175A32"/>
    <w:rsid w:val="53AE2050"/>
    <w:rsid w:val="542B1C3D"/>
    <w:rsid w:val="56242D6E"/>
    <w:rsid w:val="56A8043C"/>
    <w:rsid w:val="5934343F"/>
    <w:rsid w:val="5C524459"/>
    <w:rsid w:val="5D33415E"/>
    <w:rsid w:val="5FF732A1"/>
    <w:rsid w:val="655B1B81"/>
    <w:rsid w:val="693B4DCA"/>
    <w:rsid w:val="6C7465DC"/>
    <w:rsid w:val="71D60F68"/>
    <w:rsid w:val="74687D1E"/>
    <w:rsid w:val="7A166D74"/>
    <w:rsid w:val="7B232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autoRedefine/>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autoRedefine/>
    <w:qFormat/>
    <w:uiPriority w:val="0"/>
  </w:style>
  <w:style w:type="character" w:customStyle="1" w:styleId="8">
    <w:name w:val="页眉 Char"/>
    <w:basedOn w:val="6"/>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Home</Company>
  <Pages>2</Pages>
  <Words>2983</Words>
  <Characters>3022</Characters>
  <Lines>22</Lines>
  <Paragraphs>6</Paragraphs>
  <TotalTime>43</TotalTime>
  <ScaleCrop>false</ScaleCrop>
  <LinksUpToDate>false</LinksUpToDate>
  <CharactersWithSpaces>3436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2022-11-24T01:34:00Z</dcterms:created>
  <dc:creator>Lendy</dc:creator>
  <cp:lastModifiedBy>芳亭</cp:lastModifiedBy>
  <cp:lastPrinted>2022-10-24T07:22:00Z</cp:lastPrinted>
  <dcterms:modified xsi:type="dcterms:W3CDTF">2025-08-14T03:04:49Z</dcterms:modified>
  <dc:title>钟村市场商铺租赁合同</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0FD4B80D07FA457DAED9D27A2F521D13_13</vt:lpwstr>
  </property>
  <property fmtid="{D5CDD505-2E9C-101B-9397-08002B2CF9AE}" pid="4" name="KSOTemplateDocerSaveRecord">
    <vt:lpwstr>eyJoZGlkIjoiYjZjNDA3NzMyYWJjMjlmNzQ5ZDhiMDJjNTNlYzk0OGQiLCJ1c2VySWQiOiI3NjE3MDI1NDgifQ==</vt:lpwstr>
  </property>
</Properties>
</file>